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E3D" w:rsidRDefault="004A3E3D" w:rsidP="004A3E3D">
      <w:pPr>
        <w:jc w:val="center"/>
        <w:rPr>
          <w:rFonts w:ascii="Times New Roman" w:eastAsia="標楷體" w:hAnsi="Times New Roman" w:cs="Times New Roman"/>
          <w:b/>
          <w:sz w:val="52"/>
          <w:szCs w:val="40"/>
        </w:rPr>
      </w:pPr>
      <w:r w:rsidRPr="00086B84">
        <w:rPr>
          <w:rFonts w:ascii="Times New Roman" w:eastAsia="標楷體" w:hAnsi="Times New Roman" w:cs="Times New Roman" w:hint="eastAsia"/>
          <w:b/>
          <w:sz w:val="40"/>
          <w:szCs w:val="40"/>
        </w:rPr>
        <w:t>中油公司國內重大投資計畫</w:t>
      </w:r>
      <w:r w:rsidR="00C16AD1">
        <w:rPr>
          <w:rFonts w:ascii="Times New Roman" w:eastAsia="標楷體" w:hAnsi="Times New Roman" w:cs="Times New Roman"/>
          <w:b/>
          <w:sz w:val="40"/>
          <w:szCs w:val="40"/>
        </w:rPr>
        <w:t>彙整表</w:t>
      </w:r>
    </w:p>
    <w:p w:rsidR="00086B84" w:rsidRDefault="00086B84" w:rsidP="00086B84">
      <w:pPr>
        <w:jc w:val="right"/>
        <w:rPr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3260"/>
        <w:gridCol w:w="8363"/>
        <w:gridCol w:w="2772"/>
      </w:tblGrid>
      <w:tr w:rsidR="00A21CF5" w:rsidTr="00BB1A38">
        <w:tc>
          <w:tcPr>
            <w:tcW w:w="3260" w:type="dxa"/>
            <w:vAlign w:val="center"/>
          </w:tcPr>
          <w:p w:rsidR="00A21CF5" w:rsidRPr="004A3E3D" w:rsidRDefault="00A21CF5" w:rsidP="00A21CF5">
            <w:pPr>
              <w:spacing w:after="0" w:line="400" w:lineRule="exact"/>
              <w:jc w:val="center"/>
              <w:rPr>
                <w:sz w:val="32"/>
              </w:rPr>
            </w:pPr>
            <w:r w:rsidRPr="004A3E3D">
              <w:rPr>
                <w:rFonts w:ascii="Times New Roman" w:eastAsia="標楷體" w:hAnsi="Times New Roman" w:hint="eastAsia"/>
                <w:b/>
                <w:snapToGrid w:val="0"/>
                <w:color w:val="000000" w:themeColor="text1"/>
                <w:sz w:val="32"/>
                <w:szCs w:val="28"/>
              </w:rPr>
              <w:t>區域</w:t>
            </w:r>
          </w:p>
        </w:tc>
        <w:tc>
          <w:tcPr>
            <w:tcW w:w="8363" w:type="dxa"/>
            <w:vAlign w:val="center"/>
          </w:tcPr>
          <w:p w:rsidR="00A21CF5" w:rsidRPr="004A3E3D" w:rsidRDefault="00A21CF5" w:rsidP="00A21CF5">
            <w:pPr>
              <w:overflowPunct w:val="0"/>
              <w:snapToGrid w:val="0"/>
              <w:spacing w:after="0" w:line="400" w:lineRule="exact"/>
              <w:ind w:left="644" w:hangingChars="201" w:hanging="644"/>
              <w:jc w:val="center"/>
              <w:rPr>
                <w:rFonts w:ascii="Times New Roman" w:eastAsia="標楷體" w:hAnsi="Times New Roman"/>
                <w:b/>
                <w:snapToGrid w:val="0"/>
                <w:color w:val="000000" w:themeColor="text1"/>
                <w:sz w:val="32"/>
                <w:szCs w:val="28"/>
              </w:rPr>
            </w:pPr>
            <w:r w:rsidRPr="004A3E3D">
              <w:rPr>
                <w:rFonts w:ascii="Times New Roman" w:eastAsia="標楷體" w:hAnsi="Times New Roman"/>
                <w:b/>
                <w:snapToGrid w:val="0"/>
                <w:color w:val="000000" w:themeColor="text1"/>
                <w:sz w:val="32"/>
                <w:szCs w:val="28"/>
              </w:rPr>
              <w:t>計畫名稱</w:t>
            </w:r>
          </w:p>
        </w:tc>
        <w:tc>
          <w:tcPr>
            <w:tcW w:w="2772" w:type="dxa"/>
            <w:vAlign w:val="center"/>
          </w:tcPr>
          <w:p w:rsidR="00A21CF5" w:rsidRPr="004A3E3D" w:rsidRDefault="00A21CF5" w:rsidP="00A21CF5">
            <w:pPr>
              <w:overflowPunct w:val="0"/>
              <w:snapToGrid w:val="0"/>
              <w:spacing w:after="0" w:line="400" w:lineRule="exact"/>
              <w:ind w:left="644" w:hangingChars="201" w:hanging="644"/>
              <w:jc w:val="center"/>
              <w:rPr>
                <w:rFonts w:ascii="Times New Roman" w:eastAsia="標楷體" w:hAnsi="Times New Roman"/>
                <w:b/>
                <w:snapToGrid w:val="0"/>
                <w:color w:val="000000" w:themeColor="text1"/>
                <w:sz w:val="32"/>
                <w:szCs w:val="28"/>
              </w:rPr>
            </w:pPr>
            <w:r w:rsidRPr="004A3E3D">
              <w:rPr>
                <w:rFonts w:ascii="Times New Roman" w:eastAsia="標楷體" w:hAnsi="Times New Roman"/>
                <w:b/>
                <w:snapToGrid w:val="0"/>
                <w:color w:val="000000" w:themeColor="text1"/>
                <w:sz w:val="32"/>
                <w:szCs w:val="28"/>
              </w:rPr>
              <w:t>投資總額</w:t>
            </w:r>
            <w:r w:rsidRPr="004A3E3D">
              <w:rPr>
                <w:rFonts w:ascii="Times New Roman" w:eastAsia="標楷體" w:hAnsi="Times New Roman"/>
                <w:b/>
                <w:snapToGrid w:val="0"/>
                <w:color w:val="000000" w:themeColor="text1"/>
                <w:sz w:val="32"/>
                <w:szCs w:val="28"/>
              </w:rPr>
              <w:t>(</w:t>
            </w:r>
            <w:r w:rsidRPr="004A3E3D">
              <w:rPr>
                <w:rFonts w:ascii="Times New Roman" w:eastAsia="標楷體" w:hAnsi="Times New Roman"/>
                <w:b/>
                <w:snapToGrid w:val="0"/>
                <w:color w:val="000000" w:themeColor="text1"/>
                <w:sz w:val="32"/>
                <w:szCs w:val="28"/>
              </w:rPr>
              <w:t>億元</w:t>
            </w:r>
            <w:r w:rsidRPr="004A3E3D">
              <w:rPr>
                <w:rFonts w:ascii="Times New Roman" w:eastAsia="標楷體" w:hAnsi="Times New Roman"/>
                <w:b/>
                <w:snapToGrid w:val="0"/>
                <w:color w:val="000000" w:themeColor="text1"/>
                <w:sz w:val="32"/>
                <w:szCs w:val="28"/>
              </w:rPr>
              <w:t>)</w:t>
            </w:r>
          </w:p>
        </w:tc>
      </w:tr>
      <w:tr w:rsidR="00A21CF5" w:rsidTr="00A21CF5">
        <w:tc>
          <w:tcPr>
            <w:tcW w:w="3260" w:type="dxa"/>
            <w:vMerge w:val="restart"/>
            <w:vAlign w:val="center"/>
          </w:tcPr>
          <w:p w:rsidR="0074303F" w:rsidRPr="00B44C9B" w:rsidRDefault="0074303F" w:rsidP="00A428A2">
            <w:pPr>
              <w:overflowPunct w:val="0"/>
              <w:snapToGrid w:val="0"/>
              <w:spacing w:after="0" w:line="560" w:lineRule="exact"/>
              <w:ind w:left="47" w:firstLine="0"/>
              <w:jc w:val="both"/>
              <w:rPr>
                <w:rFonts w:eastAsia="標楷體"/>
                <w:color w:val="0070C0"/>
                <w:sz w:val="32"/>
                <w:szCs w:val="32"/>
              </w:rPr>
            </w:pPr>
            <w:r w:rsidRPr="00B44C9B">
              <w:rPr>
                <w:rFonts w:eastAsia="標楷體" w:hint="eastAsia"/>
                <w:color w:val="0070C0"/>
                <w:sz w:val="32"/>
                <w:szCs w:val="32"/>
              </w:rPr>
              <w:t>低碳天然氣</w:t>
            </w:r>
          </w:p>
          <w:p w:rsidR="00A21CF5" w:rsidRDefault="0074303F" w:rsidP="00A428A2">
            <w:pPr>
              <w:overflowPunct w:val="0"/>
              <w:snapToGrid w:val="0"/>
              <w:spacing w:after="0" w:line="560" w:lineRule="exact"/>
              <w:ind w:left="47" w:firstLine="0"/>
              <w:jc w:val="both"/>
              <w:rPr>
                <w:szCs w:val="24"/>
              </w:rPr>
            </w:pPr>
            <w:r w:rsidRPr="00B44C9B">
              <w:rPr>
                <w:rFonts w:eastAsia="標楷體" w:hint="eastAsia"/>
                <w:color w:val="0070C0"/>
                <w:sz w:val="32"/>
                <w:szCs w:val="32"/>
              </w:rPr>
              <w:t>穩定國內電力供應</w:t>
            </w:r>
          </w:p>
        </w:tc>
        <w:tc>
          <w:tcPr>
            <w:tcW w:w="8363" w:type="dxa"/>
          </w:tcPr>
          <w:p w:rsidR="00A21CF5" w:rsidRDefault="00A21CF5" w:rsidP="00A21CF5">
            <w:pPr>
              <w:spacing w:after="0" w:line="560" w:lineRule="exact"/>
              <w:rPr>
                <w:szCs w:val="24"/>
              </w:rPr>
            </w:pPr>
            <w:r w:rsidRPr="00A56AAF">
              <w:rPr>
                <w:rFonts w:ascii="Times New Roman" w:eastAsia="標楷體" w:hAnsi="Times New Roman"/>
                <w:snapToGrid w:val="0"/>
                <w:color w:val="000000" w:themeColor="text1"/>
                <w:sz w:val="28"/>
                <w:szCs w:val="28"/>
              </w:rPr>
              <w:t>第三座液化天然氣接收站投資計</w:t>
            </w:r>
            <w:r>
              <w:rPr>
                <w:rFonts w:ascii="Times New Roman" w:eastAsia="標楷體" w:hAnsi="Times New Roman"/>
                <w:snapToGrid w:val="0"/>
                <w:color w:val="000000" w:themeColor="text1"/>
                <w:sz w:val="28"/>
                <w:szCs w:val="28"/>
              </w:rPr>
              <w:t>畫</w:t>
            </w:r>
          </w:p>
        </w:tc>
        <w:tc>
          <w:tcPr>
            <w:tcW w:w="2772" w:type="dxa"/>
            <w:vAlign w:val="center"/>
          </w:tcPr>
          <w:p w:rsidR="00A21CF5" w:rsidRPr="00122590" w:rsidRDefault="00A21CF5" w:rsidP="00A21CF5">
            <w:pPr>
              <w:spacing w:after="0" w:line="56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2590">
              <w:rPr>
                <w:rFonts w:ascii="Times New Roman" w:hAnsi="Times New Roman"/>
                <w:sz w:val="28"/>
                <w:szCs w:val="28"/>
              </w:rPr>
              <w:t>600.84</w:t>
            </w:r>
          </w:p>
        </w:tc>
      </w:tr>
      <w:tr w:rsidR="00A21CF5" w:rsidTr="00A21CF5">
        <w:tc>
          <w:tcPr>
            <w:tcW w:w="3260" w:type="dxa"/>
            <w:vMerge/>
          </w:tcPr>
          <w:p w:rsidR="00A21CF5" w:rsidRDefault="00A21CF5" w:rsidP="00A21CF5">
            <w:pPr>
              <w:spacing w:after="0" w:line="560" w:lineRule="exact"/>
              <w:rPr>
                <w:szCs w:val="24"/>
              </w:rPr>
            </w:pPr>
          </w:p>
        </w:tc>
        <w:tc>
          <w:tcPr>
            <w:tcW w:w="8363" w:type="dxa"/>
          </w:tcPr>
          <w:p w:rsidR="00A21CF5" w:rsidRDefault="00A21CF5" w:rsidP="00A21CF5">
            <w:pPr>
              <w:spacing w:after="0" w:line="560" w:lineRule="exact"/>
              <w:rPr>
                <w:szCs w:val="24"/>
              </w:rPr>
            </w:pPr>
            <w:r>
              <w:rPr>
                <w:rFonts w:ascii="Times New Roman" w:eastAsia="標楷體" w:hAnsi="Times New Roman" w:hint="eastAsia"/>
                <w:snapToGrid w:val="0"/>
                <w:color w:val="000000" w:themeColor="text1"/>
                <w:sz w:val="28"/>
                <w:szCs w:val="28"/>
              </w:rPr>
              <w:t>台中廠至通霄站</w:t>
            </w:r>
            <w:proofErr w:type="gramStart"/>
            <w:r>
              <w:rPr>
                <w:rFonts w:ascii="Times New Roman" w:eastAsia="標楷體" w:hAnsi="Times New Roman" w:hint="eastAsia"/>
                <w:snapToGrid w:val="0"/>
                <w:color w:val="000000" w:themeColor="text1"/>
                <w:sz w:val="28"/>
                <w:szCs w:val="28"/>
              </w:rPr>
              <w:t>新設陸管投資</w:t>
            </w:r>
            <w:proofErr w:type="gramEnd"/>
            <w:r>
              <w:rPr>
                <w:rFonts w:ascii="Times New Roman" w:eastAsia="標楷體" w:hAnsi="Times New Roman" w:hint="eastAsia"/>
                <w:snapToGrid w:val="0"/>
                <w:color w:val="000000" w:themeColor="text1"/>
                <w:sz w:val="28"/>
                <w:szCs w:val="28"/>
              </w:rPr>
              <w:t>計畫</w:t>
            </w:r>
          </w:p>
        </w:tc>
        <w:tc>
          <w:tcPr>
            <w:tcW w:w="2772" w:type="dxa"/>
            <w:vAlign w:val="center"/>
          </w:tcPr>
          <w:p w:rsidR="00A21CF5" w:rsidRPr="00122590" w:rsidRDefault="00A21CF5" w:rsidP="00A21CF5">
            <w:pPr>
              <w:spacing w:after="0" w:line="56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2590">
              <w:rPr>
                <w:rFonts w:ascii="Times New Roman" w:hAnsi="Times New Roman"/>
                <w:sz w:val="28"/>
                <w:szCs w:val="28"/>
              </w:rPr>
              <w:t>51.92</w:t>
            </w:r>
          </w:p>
        </w:tc>
      </w:tr>
      <w:tr w:rsidR="00A21CF5" w:rsidTr="00A21CF5">
        <w:tc>
          <w:tcPr>
            <w:tcW w:w="3260" w:type="dxa"/>
            <w:vMerge/>
          </w:tcPr>
          <w:p w:rsidR="00A21CF5" w:rsidRDefault="00A21CF5" w:rsidP="00A21CF5">
            <w:pPr>
              <w:spacing w:after="0" w:line="560" w:lineRule="exact"/>
              <w:rPr>
                <w:szCs w:val="24"/>
              </w:rPr>
            </w:pPr>
          </w:p>
        </w:tc>
        <w:tc>
          <w:tcPr>
            <w:tcW w:w="8363" w:type="dxa"/>
          </w:tcPr>
          <w:p w:rsidR="00A21CF5" w:rsidRDefault="00A21CF5" w:rsidP="00A21CF5">
            <w:pPr>
              <w:spacing w:after="0" w:line="560" w:lineRule="exact"/>
              <w:rPr>
                <w:szCs w:val="24"/>
              </w:rPr>
            </w:pPr>
            <w:r w:rsidRPr="00A56AAF">
              <w:rPr>
                <w:rFonts w:ascii="Times New Roman" w:eastAsia="標楷體" w:hAnsi="Times New Roman"/>
                <w:snapToGrid w:val="0"/>
                <w:color w:val="000000" w:themeColor="text1"/>
                <w:sz w:val="28"/>
                <w:szCs w:val="28"/>
              </w:rPr>
              <w:t>台中液化天然氣廠二期投資計畫</w:t>
            </w:r>
          </w:p>
        </w:tc>
        <w:tc>
          <w:tcPr>
            <w:tcW w:w="2772" w:type="dxa"/>
            <w:vAlign w:val="center"/>
          </w:tcPr>
          <w:p w:rsidR="00A21CF5" w:rsidRPr="00122590" w:rsidRDefault="00A21CF5" w:rsidP="00A21CF5">
            <w:pPr>
              <w:spacing w:after="0" w:line="56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2590">
              <w:rPr>
                <w:rFonts w:ascii="Times New Roman" w:hAnsi="Times New Roman"/>
                <w:sz w:val="28"/>
                <w:szCs w:val="28"/>
              </w:rPr>
              <w:t>184.82</w:t>
            </w:r>
          </w:p>
        </w:tc>
      </w:tr>
      <w:tr w:rsidR="00A21CF5" w:rsidTr="00A21CF5">
        <w:tc>
          <w:tcPr>
            <w:tcW w:w="3260" w:type="dxa"/>
            <w:vMerge/>
          </w:tcPr>
          <w:p w:rsidR="00A21CF5" w:rsidRDefault="00A21CF5" w:rsidP="00A21CF5">
            <w:pPr>
              <w:spacing w:after="0" w:line="560" w:lineRule="exact"/>
              <w:rPr>
                <w:szCs w:val="24"/>
              </w:rPr>
            </w:pPr>
          </w:p>
        </w:tc>
        <w:tc>
          <w:tcPr>
            <w:tcW w:w="8363" w:type="dxa"/>
            <w:shd w:val="clear" w:color="auto" w:fill="F2DBDB" w:themeFill="accent2" w:themeFillTint="33"/>
          </w:tcPr>
          <w:p w:rsidR="00A21CF5" w:rsidRPr="00A21CF5" w:rsidRDefault="00A21CF5" w:rsidP="00A21CF5">
            <w:pPr>
              <w:spacing w:after="0" w:line="560" w:lineRule="exact"/>
              <w:jc w:val="right"/>
              <w:rPr>
                <w:rFonts w:ascii="Times New Roman" w:eastAsia="標楷體" w:hAnsi="Times New Roman"/>
                <w:snapToGrid w:val="0"/>
                <w:color w:val="000000" w:themeColor="text1"/>
                <w:sz w:val="28"/>
                <w:szCs w:val="28"/>
              </w:rPr>
            </w:pPr>
            <w:r w:rsidRPr="00A21CF5">
              <w:rPr>
                <w:rFonts w:ascii="Times New Roman" w:eastAsia="標楷體" w:hAnsi="Times New Roman"/>
                <w:snapToGrid w:val="0"/>
                <w:color w:val="000000" w:themeColor="text1"/>
                <w:sz w:val="28"/>
                <w:szCs w:val="28"/>
              </w:rPr>
              <w:t>小計</w:t>
            </w:r>
          </w:p>
        </w:tc>
        <w:tc>
          <w:tcPr>
            <w:tcW w:w="2772" w:type="dxa"/>
            <w:shd w:val="clear" w:color="auto" w:fill="F2DBDB" w:themeFill="accent2" w:themeFillTint="33"/>
            <w:vAlign w:val="center"/>
          </w:tcPr>
          <w:p w:rsidR="00A21CF5" w:rsidRPr="00122590" w:rsidRDefault="00160891" w:rsidP="00A21CF5">
            <w:pPr>
              <w:spacing w:after="0" w:line="56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2590">
              <w:rPr>
                <w:rFonts w:ascii="Times New Roman" w:hAnsi="Times New Roman"/>
                <w:sz w:val="28"/>
                <w:szCs w:val="28"/>
              </w:rPr>
              <w:t>837.58</w:t>
            </w:r>
          </w:p>
        </w:tc>
      </w:tr>
      <w:tr w:rsidR="00A21CF5" w:rsidTr="00A21CF5">
        <w:tc>
          <w:tcPr>
            <w:tcW w:w="3260" w:type="dxa"/>
            <w:vMerge w:val="restart"/>
          </w:tcPr>
          <w:p w:rsidR="0074303F" w:rsidRDefault="0074303F" w:rsidP="0074303F">
            <w:pPr>
              <w:overflowPunct w:val="0"/>
              <w:snapToGrid w:val="0"/>
              <w:spacing w:after="0" w:line="560" w:lineRule="exact"/>
              <w:ind w:left="47" w:firstLine="0"/>
              <w:jc w:val="both"/>
              <w:rPr>
                <w:rFonts w:eastAsia="標楷體"/>
                <w:color w:val="0070C0"/>
                <w:sz w:val="32"/>
                <w:szCs w:val="32"/>
              </w:rPr>
            </w:pPr>
            <w:r w:rsidRPr="0074303F">
              <w:rPr>
                <w:rFonts w:eastAsia="標楷體" w:hint="eastAsia"/>
                <w:color w:val="0070C0"/>
                <w:sz w:val="32"/>
                <w:szCs w:val="32"/>
              </w:rPr>
              <w:t>精進煉油品質</w:t>
            </w:r>
          </w:p>
          <w:p w:rsidR="00A21CF5" w:rsidRPr="00A21CF5" w:rsidRDefault="0074303F" w:rsidP="0074303F">
            <w:pPr>
              <w:overflowPunct w:val="0"/>
              <w:snapToGrid w:val="0"/>
              <w:spacing w:after="0" w:line="560" w:lineRule="exact"/>
              <w:ind w:left="47" w:firstLine="0"/>
              <w:jc w:val="both"/>
              <w:rPr>
                <w:rFonts w:eastAsia="標楷體"/>
                <w:color w:val="0070C0"/>
                <w:sz w:val="32"/>
                <w:szCs w:val="32"/>
              </w:rPr>
            </w:pPr>
            <w:r w:rsidRPr="0074303F">
              <w:rPr>
                <w:rFonts w:eastAsia="標楷體" w:hint="eastAsia"/>
                <w:color w:val="0070C0"/>
                <w:sz w:val="32"/>
                <w:szCs w:val="32"/>
              </w:rPr>
              <w:t>改善國內空污環境</w:t>
            </w:r>
          </w:p>
        </w:tc>
        <w:tc>
          <w:tcPr>
            <w:tcW w:w="8363" w:type="dxa"/>
          </w:tcPr>
          <w:p w:rsidR="00A21CF5" w:rsidRPr="00A21CF5" w:rsidRDefault="00160891" w:rsidP="009238B0">
            <w:pPr>
              <w:spacing w:after="0" w:line="560" w:lineRule="exact"/>
              <w:rPr>
                <w:rFonts w:ascii="Times New Roman" w:eastAsia="標楷體" w:hAnsi="Times New Roman"/>
                <w:snapToGrid w:val="0"/>
                <w:color w:val="000000" w:themeColor="text1"/>
                <w:sz w:val="28"/>
                <w:szCs w:val="28"/>
              </w:rPr>
            </w:pPr>
            <w:r w:rsidRPr="00A56AAF">
              <w:rPr>
                <w:rFonts w:ascii="Times New Roman" w:eastAsia="標楷體" w:hAnsi="Times New Roman"/>
                <w:snapToGrid w:val="0"/>
                <w:color w:val="000000" w:themeColor="text1"/>
                <w:sz w:val="28"/>
                <w:szCs w:val="28"/>
              </w:rPr>
              <w:t>桃園煉油廠重油加氫脫硫工場</w:t>
            </w:r>
            <w:proofErr w:type="gramStart"/>
            <w:r w:rsidR="009238B0">
              <w:rPr>
                <w:rFonts w:ascii="Times New Roman" w:eastAsia="標楷體" w:hAnsi="Times New Roman" w:hint="eastAsia"/>
                <w:snapToGrid w:val="0"/>
                <w:color w:val="000000" w:themeColor="text1"/>
                <w:sz w:val="28"/>
                <w:szCs w:val="28"/>
              </w:rPr>
              <w:t>汰</w:t>
            </w:r>
            <w:proofErr w:type="gramEnd"/>
            <w:r w:rsidR="009238B0">
              <w:rPr>
                <w:rFonts w:ascii="Times New Roman" w:eastAsia="標楷體" w:hAnsi="Times New Roman" w:hint="eastAsia"/>
                <w:snapToGrid w:val="0"/>
                <w:color w:val="000000" w:themeColor="text1"/>
                <w:sz w:val="28"/>
                <w:szCs w:val="28"/>
              </w:rPr>
              <w:t>舊更新</w:t>
            </w:r>
            <w:r w:rsidRPr="00A56AAF">
              <w:rPr>
                <w:rFonts w:ascii="Times New Roman" w:eastAsia="標楷體" w:hAnsi="Times New Roman"/>
                <w:snapToGrid w:val="0"/>
                <w:color w:val="000000" w:themeColor="text1"/>
                <w:sz w:val="28"/>
                <w:szCs w:val="28"/>
              </w:rPr>
              <w:t>計</w:t>
            </w:r>
            <w:r w:rsidR="001457A8">
              <w:rPr>
                <w:rFonts w:ascii="Times New Roman" w:eastAsia="標楷體" w:hAnsi="Times New Roman"/>
                <w:snapToGrid w:val="0"/>
                <w:color w:val="000000" w:themeColor="text1"/>
                <w:sz w:val="28"/>
                <w:szCs w:val="28"/>
              </w:rPr>
              <w:t>畫</w:t>
            </w:r>
          </w:p>
        </w:tc>
        <w:tc>
          <w:tcPr>
            <w:tcW w:w="2772" w:type="dxa"/>
            <w:vAlign w:val="center"/>
          </w:tcPr>
          <w:p w:rsidR="00A21CF5" w:rsidRPr="00122590" w:rsidRDefault="00160891" w:rsidP="00A21CF5">
            <w:pPr>
              <w:spacing w:after="0" w:line="56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2590">
              <w:rPr>
                <w:rFonts w:ascii="Times New Roman" w:hAnsi="Times New Roman"/>
                <w:sz w:val="28"/>
                <w:szCs w:val="28"/>
              </w:rPr>
              <w:t>384.62</w:t>
            </w:r>
          </w:p>
        </w:tc>
      </w:tr>
      <w:tr w:rsidR="00A21CF5" w:rsidTr="00A21CF5">
        <w:tc>
          <w:tcPr>
            <w:tcW w:w="3260" w:type="dxa"/>
            <w:vMerge/>
          </w:tcPr>
          <w:p w:rsidR="00A21CF5" w:rsidRPr="00A21CF5" w:rsidRDefault="00A21CF5" w:rsidP="00A21CF5">
            <w:pPr>
              <w:overflowPunct w:val="0"/>
              <w:snapToGrid w:val="0"/>
              <w:spacing w:after="0" w:line="560" w:lineRule="exact"/>
              <w:ind w:left="47" w:firstLine="0"/>
              <w:jc w:val="both"/>
              <w:rPr>
                <w:rFonts w:eastAsia="標楷體"/>
                <w:color w:val="0070C0"/>
                <w:sz w:val="32"/>
                <w:szCs w:val="32"/>
              </w:rPr>
            </w:pPr>
          </w:p>
        </w:tc>
        <w:tc>
          <w:tcPr>
            <w:tcW w:w="8363" w:type="dxa"/>
            <w:shd w:val="clear" w:color="auto" w:fill="F2DBDB" w:themeFill="accent2" w:themeFillTint="33"/>
          </w:tcPr>
          <w:p w:rsidR="00A21CF5" w:rsidRPr="00A21CF5" w:rsidRDefault="00A21CF5" w:rsidP="00A21CF5">
            <w:pPr>
              <w:spacing w:after="0" w:line="560" w:lineRule="exact"/>
              <w:jc w:val="right"/>
              <w:rPr>
                <w:rFonts w:ascii="Times New Roman" w:eastAsia="標楷體" w:hAnsi="Times New Roman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napToGrid w:val="0"/>
                <w:color w:val="000000" w:themeColor="text1"/>
                <w:sz w:val="28"/>
                <w:szCs w:val="28"/>
              </w:rPr>
              <w:t>小計</w:t>
            </w:r>
          </w:p>
        </w:tc>
        <w:tc>
          <w:tcPr>
            <w:tcW w:w="2772" w:type="dxa"/>
            <w:shd w:val="clear" w:color="auto" w:fill="F2DBDB" w:themeFill="accent2" w:themeFillTint="33"/>
            <w:vAlign w:val="center"/>
          </w:tcPr>
          <w:p w:rsidR="00A21CF5" w:rsidRPr="00122590" w:rsidRDefault="00160891" w:rsidP="00160891">
            <w:pPr>
              <w:spacing w:after="0" w:line="56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2590">
              <w:rPr>
                <w:rFonts w:ascii="Times New Roman" w:hAnsi="Times New Roman"/>
                <w:sz w:val="28"/>
                <w:szCs w:val="28"/>
              </w:rPr>
              <w:t>384.62</w:t>
            </w:r>
          </w:p>
        </w:tc>
      </w:tr>
      <w:tr w:rsidR="00A21CF5" w:rsidTr="00A21CF5">
        <w:tc>
          <w:tcPr>
            <w:tcW w:w="3260" w:type="dxa"/>
            <w:vMerge w:val="restart"/>
            <w:vAlign w:val="center"/>
          </w:tcPr>
          <w:p w:rsidR="009A0659" w:rsidRDefault="009A0659" w:rsidP="0074303F">
            <w:pPr>
              <w:spacing w:after="0" w:line="560" w:lineRule="exact"/>
              <w:jc w:val="both"/>
              <w:rPr>
                <w:rFonts w:eastAsia="標楷體"/>
                <w:color w:val="0070C0"/>
                <w:sz w:val="32"/>
                <w:szCs w:val="32"/>
              </w:rPr>
            </w:pPr>
            <w:r w:rsidRPr="009A0659">
              <w:rPr>
                <w:rFonts w:eastAsia="標楷體" w:hint="eastAsia"/>
                <w:color w:val="0070C0"/>
                <w:sz w:val="32"/>
                <w:szCs w:val="32"/>
              </w:rPr>
              <w:t>響應循環經濟及</w:t>
            </w:r>
          </w:p>
          <w:p w:rsidR="00A21CF5" w:rsidRDefault="009A0659" w:rsidP="0074303F">
            <w:pPr>
              <w:spacing w:after="0" w:line="560" w:lineRule="exact"/>
              <w:jc w:val="both"/>
              <w:rPr>
                <w:szCs w:val="24"/>
              </w:rPr>
            </w:pPr>
            <w:r w:rsidRPr="009A0659">
              <w:rPr>
                <w:rFonts w:eastAsia="標楷體" w:hint="eastAsia"/>
                <w:color w:val="0070C0"/>
                <w:sz w:val="32"/>
                <w:szCs w:val="32"/>
              </w:rPr>
              <w:t>城市安全政策</w:t>
            </w:r>
          </w:p>
        </w:tc>
        <w:tc>
          <w:tcPr>
            <w:tcW w:w="8363" w:type="dxa"/>
          </w:tcPr>
          <w:p w:rsidR="00A21CF5" w:rsidRPr="00A21CF5" w:rsidRDefault="00160891" w:rsidP="00A21CF5">
            <w:pPr>
              <w:spacing w:after="0" w:line="560" w:lineRule="exact"/>
              <w:rPr>
                <w:rFonts w:ascii="Times New Roman" w:eastAsia="標楷體" w:hAnsi="Times New Roman"/>
                <w:snapToGrid w:val="0"/>
                <w:color w:val="000000" w:themeColor="text1"/>
                <w:sz w:val="28"/>
                <w:szCs w:val="28"/>
              </w:rPr>
            </w:pPr>
            <w:r w:rsidRPr="00A56AAF">
              <w:rPr>
                <w:rFonts w:ascii="Times New Roman" w:eastAsia="標楷體" w:hAnsi="Times New Roman"/>
                <w:color w:val="000000" w:themeColor="text1"/>
                <w:kern w:val="2"/>
                <w:sz w:val="28"/>
                <w:szCs w:val="28"/>
              </w:rPr>
              <w:t>高雄港洲際貨櫃二期大林石化油品儲運中心投資計</w:t>
            </w:r>
            <w:r>
              <w:rPr>
                <w:rFonts w:ascii="Times New Roman" w:eastAsia="標楷體" w:hAnsi="Times New Roman"/>
                <w:color w:val="000000" w:themeColor="text1"/>
                <w:kern w:val="2"/>
                <w:sz w:val="28"/>
                <w:szCs w:val="28"/>
              </w:rPr>
              <w:t>畫</w:t>
            </w:r>
          </w:p>
        </w:tc>
        <w:tc>
          <w:tcPr>
            <w:tcW w:w="2772" w:type="dxa"/>
            <w:vAlign w:val="center"/>
          </w:tcPr>
          <w:p w:rsidR="00A21CF5" w:rsidRPr="00122590" w:rsidRDefault="00160891" w:rsidP="00A21CF5">
            <w:pPr>
              <w:spacing w:after="0" w:line="56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2590">
              <w:rPr>
                <w:rFonts w:ascii="Times New Roman" w:eastAsia="標楷體" w:hAnsi="Times New Roman"/>
                <w:color w:val="000000" w:themeColor="text1"/>
                <w:kern w:val="2"/>
                <w:sz w:val="28"/>
                <w:szCs w:val="28"/>
              </w:rPr>
              <w:t>536.23</w:t>
            </w:r>
          </w:p>
        </w:tc>
      </w:tr>
      <w:tr w:rsidR="00A21CF5" w:rsidTr="00A21CF5">
        <w:tc>
          <w:tcPr>
            <w:tcW w:w="3260" w:type="dxa"/>
            <w:vMerge/>
          </w:tcPr>
          <w:p w:rsidR="00A21CF5" w:rsidRDefault="00A21CF5" w:rsidP="00A21CF5">
            <w:pPr>
              <w:spacing w:after="0" w:line="560" w:lineRule="exact"/>
              <w:rPr>
                <w:szCs w:val="24"/>
              </w:rPr>
            </w:pPr>
          </w:p>
        </w:tc>
        <w:tc>
          <w:tcPr>
            <w:tcW w:w="8363" w:type="dxa"/>
          </w:tcPr>
          <w:p w:rsidR="00A21CF5" w:rsidRPr="00A21CF5" w:rsidRDefault="00160891" w:rsidP="00A21CF5">
            <w:pPr>
              <w:spacing w:after="0" w:line="560" w:lineRule="exact"/>
              <w:rPr>
                <w:rFonts w:ascii="Times New Roman" w:eastAsia="標楷體" w:hAnsi="Times New Roman"/>
                <w:snapToGrid w:val="0"/>
                <w:color w:val="000000" w:themeColor="text1"/>
                <w:sz w:val="28"/>
                <w:szCs w:val="28"/>
              </w:rPr>
            </w:pPr>
            <w:proofErr w:type="gramStart"/>
            <w:r w:rsidRPr="00B40444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曄</w:t>
            </w:r>
            <w:proofErr w:type="gramEnd"/>
            <w:r w:rsidRPr="00B40444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揚公司</w:t>
            </w:r>
            <w:r w:rsidRPr="00B40444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(</w:t>
            </w:r>
            <w:r w:rsidRPr="00B40444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台日合資案</w:t>
            </w:r>
            <w:r w:rsidRPr="00B40444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772" w:type="dxa"/>
            <w:vAlign w:val="center"/>
          </w:tcPr>
          <w:p w:rsidR="00A21CF5" w:rsidRPr="00122590" w:rsidRDefault="00160891" w:rsidP="00A21CF5">
            <w:pPr>
              <w:spacing w:after="0" w:line="56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2590">
              <w:rPr>
                <w:rFonts w:ascii="Times New Roman" w:eastAsia="標楷體" w:hAnsi="Times New Roman"/>
                <w:color w:val="000000" w:themeColor="text1"/>
                <w:kern w:val="2"/>
                <w:sz w:val="28"/>
                <w:szCs w:val="28"/>
              </w:rPr>
              <w:t>137.28</w:t>
            </w:r>
          </w:p>
        </w:tc>
      </w:tr>
      <w:tr w:rsidR="00A21CF5" w:rsidTr="00A21CF5">
        <w:tc>
          <w:tcPr>
            <w:tcW w:w="3260" w:type="dxa"/>
            <w:vMerge/>
          </w:tcPr>
          <w:p w:rsidR="00A21CF5" w:rsidRDefault="00A21CF5" w:rsidP="00A21CF5">
            <w:pPr>
              <w:spacing w:after="0" w:line="560" w:lineRule="exact"/>
              <w:rPr>
                <w:szCs w:val="24"/>
              </w:rPr>
            </w:pPr>
          </w:p>
        </w:tc>
        <w:tc>
          <w:tcPr>
            <w:tcW w:w="8363" w:type="dxa"/>
          </w:tcPr>
          <w:p w:rsidR="00A21CF5" w:rsidRPr="00A21CF5" w:rsidRDefault="00160891" w:rsidP="00A21CF5">
            <w:pPr>
              <w:spacing w:after="0" w:line="560" w:lineRule="exact"/>
              <w:rPr>
                <w:rFonts w:ascii="Times New Roman" w:eastAsia="標楷體" w:hAnsi="Times New Roman"/>
                <w:snapToGrid w:val="0"/>
                <w:color w:val="000000" w:themeColor="text1"/>
                <w:sz w:val="28"/>
                <w:szCs w:val="28"/>
              </w:rPr>
            </w:pPr>
            <w:r w:rsidRPr="00B40444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苯乙烯合資計畫</w:t>
            </w:r>
          </w:p>
        </w:tc>
        <w:tc>
          <w:tcPr>
            <w:tcW w:w="2772" w:type="dxa"/>
            <w:vAlign w:val="center"/>
          </w:tcPr>
          <w:p w:rsidR="00A21CF5" w:rsidRPr="00122590" w:rsidRDefault="00160891" w:rsidP="00A21CF5">
            <w:pPr>
              <w:spacing w:after="0" w:line="56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2590">
              <w:rPr>
                <w:rFonts w:ascii="Times New Roman" w:hAnsi="Times New Roman"/>
                <w:sz w:val="28"/>
                <w:szCs w:val="28"/>
              </w:rPr>
              <w:t>8</w:t>
            </w:r>
            <w:r w:rsidR="007D5B79">
              <w:rPr>
                <w:rFonts w:ascii="Times New Roman" w:hAnsi="Times New Roman" w:hint="eastAsia"/>
                <w:sz w:val="28"/>
                <w:szCs w:val="28"/>
              </w:rPr>
              <w:t>0</w:t>
            </w:r>
          </w:p>
        </w:tc>
      </w:tr>
      <w:tr w:rsidR="00A21CF5" w:rsidTr="00A21CF5">
        <w:tc>
          <w:tcPr>
            <w:tcW w:w="3260" w:type="dxa"/>
            <w:vMerge/>
          </w:tcPr>
          <w:p w:rsidR="00A21CF5" w:rsidRDefault="00A21CF5" w:rsidP="00A21CF5">
            <w:pPr>
              <w:spacing w:after="0" w:line="560" w:lineRule="exact"/>
              <w:rPr>
                <w:szCs w:val="24"/>
              </w:rPr>
            </w:pPr>
          </w:p>
        </w:tc>
        <w:tc>
          <w:tcPr>
            <w:tcW w:w="8363" w:type="dxa"/>
          </w:tcPr>
          <w:p w:rsidR="00A21CF5" w:rsidRPr="00A21CF5" w:rsidRDefault="00160891" w:rsidP="00A21CF5">
            <w:pPr>
              <w:spacing w:after="0" w:line="560" w:lineRule="exact"/>
              <w:rPr>
                <w:rFonts w:ascii="Times New Roman" w:eastAsia="標楷體" w:hAnsi="Times New Roman"/>
                <w:snapToGrid w:val="0"/>
                <w:color w:val="000000" w:themeColor="text1"/>
                <w:sz w:val="28"/>
                <w:szCs w:val="28"/>
              </w:rPr>
            </w:pPr>
            <w:r w:rsidRPr="00B40444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高值化碳</w:t>
            </w:r>
            <w:r w:rsidR="00E66DB5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烴</w:t>
            </w:r>
            <w:bookmarkStart w:id="0" w:name="_GoBack"/>
            <w:bookmarkEnd w:id="0"/>
            <w:proofErr w:type="gramStart"/>
            <w:r w:rsidRPr="00B40444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樹酯</w:t>
            </w:r>
            <w:proofErr w:type="gramEnd"/>
            <w:r w:rsidRPr="00B40444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合資計</w:t>
            </w: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畫</w:t>
            </w:r>
          </w:p>
        </w:tc>
        <w:tc>
          <w:tcPr>
            <w:tcW w:w="2772" w:type="dxa"/>
            <w:vAlign w:val="center"/>
          </w:tcPr>
          <w:p w:rsidR="00A21CF5" w:rsidRPr="00122590" w:rsidRDefault="00160891" w:rsidP="00A21CF5">
            <w:pPr>
              <w:spacing w:after="0" w:line="56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2590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A21CF5" w:rsidTr="00A21CF5">
        <w:tc>
          <w:tcPr>
            <w:tcW w:w="3260" w:type="dxa"/>
            <w:vMerge/>
          </w:tcPr>
          <w:p w:rsidR="00A21CF5" w:rsidRDefault="00A21CF5" w:rsidP="00A21CF5">
            <w:pPr>
              <w:spacing w:after="0" w:line="560" w:lineRule="exact"/>
              <w:rPr>
                <w:szCs w:val="24"/>
              </w:rPr>
            </w:pPr>
          </w:p>
        </w:tc>
        <w:tc>
          <w:tcPr>
            <w:tcW w:w="8363" w:type="dxa"/>
            <w:shd w:val="clear" w:color="auto" w:fill="F2DBDB" w:themeFill="accent2" w:themeFillTint="33"/>
          </w:tcPr>
          <w:p w:rsidR="00A21CF5" w:rsidRPr="00A21CF5" w:rsidRDefault="00A21CF5" w:rsidP="00A21CF5">
            <w:pPr>
              <w:spacing w:after="0" w:line="560" w:lineRule="exact"/>
              <w:jc w:val="right"/>
              <w:rPr>
                <w:rFonts w:ascii="Times New Roman" w:eastAsia="標楷體" w:hAnsi="Times New Roman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napToGrid w:val="0"/>
                <w:color w:val="000000" w:themeColor="text1"/>
                <w:sz w:val="28"/>
                <w:szCs w:val="28"/>
              </w:rPr>
              <w:t>小計</w:t>
            </w:r>
          </w:p>
        </w:tc>
        <w:tc>
          <w:tcPr>
            <w:tcW w:w="2772" w:type="dxa"/>
            <w:shd w:val="clear" w:color="auto" w:fill="F2DBDB" w:themeFill="accent2" w:themeFillTint="33"/>
            <w:vAlign w:val="center"/>
          </w:tcPr>
          <w:p w:rsidR="00A21CF5" w:rsidRPr="00122590" w:rsidRDefault="00160891" w:rsidP="009E508A">
            <w:pPr>
              <w:spacing w:after="0" w:line="56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2590">
              <w:rPr>
                <w:rFonts w:ascii="Times New Roman" w:hAnsi="Times New Roman"/>
                <w:sz w:val="28"/>
                <w:szCs w:val="28"/>
              </w:rPr>
              <w:t>90</w:t>
            </w:r>
            <w:r w:rsidR="009E508A">
              <w:rPr>
                <w:rFonts w:ascii="Times New Roman" w:hAnsi="Times New Roman" w:hint="eastAsia"/>
                <w:sz w:val="28"/>
                <w:szCs w:val="28"/>
              </w:rPr>
              <w:t>3</w:t>
            </w:r>
            <w:r w:rsidRPr="00122590">
              <w:rPr>
                <w:rFonts w:ascii="Times New Roman" w:hAnsi="Times New Roman"/>
                <w:sz w:val="28"/>
                <w:szCs w:val="28"/>
              </w:rPr>
              <w:t>.51</w:t>
            </w:r>
          </w:p>
        </w:tc>
      </w:tr>
      <w:tr w:rsidR="00A21CF5" w:rsidTr="00160891">
        <w:tc>
          <w:tcPr>
            <w:tcW w:w="11623" w:type="dxa"/>
            <w:gridSpan w:val="2"/>
            <w:shd w:val="clear" w:color="auto" w:fill="B6DDE8" w:themeFill="accent5" w:themeFillTint="66"/>
            <w:vAlign w:val="bottom"/>
          </w:tcPr>
          <w:p w:rsidR="00A21CF5" w:rsidRPr="00A21CF5" w:rsidRDefault="00A21CF5" w:rsidP="00A21CF5">
            <w:pPr>
              <w:spacing w:after="0" w:line="560" w:lineRule="exact"/>
              <w:jc w:val="right"/>
              <w:rPr>
                <w:rFonts w:ascii="Times New Roman" w:eastAsia="標楷體" w:hAnsi="Times New Roman"/>
                <w:snapToGrid w:val="0"/>
                <w:color w:val="000000" w:themeColor="text1"/>
                <w:sz w:val="28"/>
                <w:szCs w:val="28"/>
              </w:rPr>
            </w:pPr>
            <w:r w:rsidRPr="00A21CF5">
              <w:rPr>
                <w:rFonts w:ascii="Times New Roman" w:eastAsia="標楷體" w:hAnsi="Times New Roman"/>
                <w:snapToGrid w:val="0"/>
                <w:color w:val="000000" w:themeColor="text1"/>
                <w:sz w:val="28"/>
                <w:szCs w:val="28"/>
              </w:rPr>
              <w:t>總計</w:t>
            </w:r>
          </w:p>
        </w:tc>
        <w:tc>
          <w:tcPr>
            <w:tcW w:w="2772" w:type="dxa"/>
            <w:shd w:val="clear" w:color="auto" w:fill="B6DDE8" w:themeFill="accent5" w:themeFillTint="66"/>
            <w:vAlign w:val="center"/>
          </w:tcPr>
          <w:p w:rsidR="00A21CF5" w:rsidRPr="00122590" w:rsidRDefault="00160891" w:rsidP="009E508A">
            <w:pPr>
              <w:spacing w:after="0" w:line="56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2590">
              <w:rPr>
                <w:rFonts w:ascii="Times New Roman" w:hAnsi="Times New Roman"/>
                <w:sz w:val="28"/>
                <w:szCs w:val="28"/>
              </w:rPr>
              <w:t>212</w:t>
            </w:r>
            <w:r w:rsidR="009E508A">
              <w:rPr>
                <w:rFonts w:ascii="Times New Roman" w:hAnsi="Times New Roman" w:hint="eastAsia"/>
                <w:sz w:val="28"/>
                <w:szCs w:val="28"/>
              </w:rPr>
              <w:t>5</w:t>
            </w:r>
            <w:r w:rsidRPr="00122590">
              <w:rPr>
                <w:rFonts w:ascii="Times New Roman" w:hAnsi="Times New Roman"/>
                <w:sz w:val="28"/>
                <w:szCs w:val="28"/>
              </w:rPr>
              <w:t>.71</w:t>
            </w:r>
          </w:p>
        </w:tc>
      </w:tr>
    </w:tbl>
    <w:p w:rsidR="00A21CF5" w:rsidRPr="00086B84" w:rsidRDefault="00A21CF5" w:rsidP="00A21CF5">
      <w:pPr>
        <w:rPr>
          <w:szCs w:val="24"/>
        </w:rPr>
      </w:pPr>
    </w:p>
    <w:p w:rsidR="00E578A0" w:rsidRPr="00D3159D" w:rsidRDefault="00E578A0" w:rsidP="00C16AD1">
      <w:pPr>
        <w:widowControl/>
        <w:spacing w:line="360" w:lineRule="auto"/>
        <w:rPr>
          <w:rFonts w:ascii="Times New Roman" w:eastAsia="標楷體" w:hAnsi="Times New Roman" w:cs="Times New Roman"/>
          <w:color w:val="0070C0"/>
          <w:sz w:val="28"/>
          <w:szCs w:val="32"/>
        </w:rPr>
      </w:pPr>
    </w:p>
    <w:sectPr w:rsidR="00E578A0" w:rsidRPr="00D3159D" w:rsidSect="00D3159D">
      <w:footerReference w:type="default" r:id="rId9"/>
      <w:pgSz w:w="16838" w:h="11906" w:orient="landscape"/>
      <w:pgMar w:top="567" w:right="1077" w:bottom="567" w:left="107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19A" w:rsidRDefault="0051419A" w:rsidP="00537930">
      <w:r>
        <w:separator/>
      </w:r>
    </w:p>
  </w:endnote>
  <w:endnote w:type="continuationSeparator" w:id="0">
    <w:p w:rsidR="0051419A" w:rsidRDefault="0051419A" w:rsidP="00537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8154664"/>
      <w:docPartObj>
        <w:docPartGallery w:val="Page Numbers (Bottom of Page)"/>
        <w:docPartUnique/>
      </w:docPartObj>
    </w:sdtPr>
    <w:sdtEndPr>
      <w:rPr>
        <w:rFonts w:ascii="Times New Roman" w:eastAsia="標楷體" w:hAnsi="Times New Roman" w:cs="Times New Roman"/>
      </w:rPr>
    </w:sdtEndPr>
    <w:sdtContent>
      <w:p w:rsidR="00D4412E" w:rsidRPr="00D4412E" w:rsidRDefault="00D4412E">
        <w:pPr>
          <w:pStyle w:val="ab"/>
          <w:jc w:val="center"/>
          <w:rPr>
            <w:rFonts w:ascii="Times New Roman" w:eastAsia="標楷體" w:hAnsi="Times New Roman" w:cs="Times New Roman"/>
          </w:rPr>
        </w:pPr>
        <w:r w:rsidRPr="00D4412E">
          <w:rPr>
            <w:rFonts w:ascii="Times New Roman" w:eastAsia="標楷體" w:hAnsi="Times New Roman" w:cs="Times New Roman"/>
          </w:rPr>
          <w:t>第</w:t>
        </w:r>
        <w:r w:rsidRPr="00D4412E">
          <w:rPr>
            <w:rFonts w:ascii="Times New Roman" w:eastAsia="標楷體" w:hAnsi="Times New Roman" w:cs="Times New Roman"/>
          </w:rPr>
          <w:fldChar w:fldCharType="begin"/>
        </w:r>
        <w:r w:rsidRPr="00D4412E">
          <w:rPr>
            <w:rFonts w:ascii="Times New Roman" w:eastAsia="標楷體" w:hAnsi="Times New Roman" w:cs="Times New Roman"/>
          </w:rPr>
          <w:instrText>PAGE   \* MERGEFORMAT</w:instrText>
        </w:r>
        <w:r w:rsidRPr="00D4412E">
          <w:rPr>
            <w:rFonts w:ascii="Times New Roman" w:eastAsia="標楷體" w:hAnsi="Times New Roman" w:cs="Times New Roman"/>
          </w:rPr>
          <w:fldChar w:fldCharType="separate"/>
        </w:r>
        <w:r w:rsidR="00E66DB5" w:rsidRPr="00E66DB5">
          <w:rPr>
            <w:rFonts w:ascii="Times New Roman" w:eastAsia="標楷體" w:hAnsi="Times New Roman" w:cs="Times New Roman"/>
            <w:noProof/>
            <w:lang w:val="zh-TW"/>
          </w:rPr>
          <w:t>1</w:t>
        </w:r>
        <w:r w:rsidRPr="00D4412E">
          <w:rPr>
            <w:rFonts w:ascii="Times New Roman" w:eastAsia="標楷體" w:hAnsi="Times New Roman" w:cs="Times New Roman"/>
          </w:rPr>
          <w:fldChar w:fldCharType="end"/>
        </w:r>
        <w:r w:rsidRPr="00D4412E">
          <w:rPr>
            <w:rFonts w:ascii="Times New Roman" w:eastAsia="標楷體" w:hAnsi="Times New Roman" w:cs="Times New Roman"/>
          </w:rPr>
          <w:t>頁，共</w:t>
        </w:r>
        <w:r w:rsidRPr="00D4412E">
          <w:rPr>
            <w:rFonts w:ascii="Times New Roman" w:eastAsia="標楷體" w:hAnsi="Times New Roman" w:cs="Times New Roman"/>
          </w:rPr>
          <w:fldChar w:fldCharType="begin"/>
        </w:r>
        <w:r w:rsidRPr="00D4412E">
          <w:rPr>
            <w:rFonts w:ascii="Times New Roman" w:eastAsia="標楷體" w:hAnsi="Times New Roman" w:cs="Times New Roman"/>
          </w:rPr>
          <w:instrText xml:space="preserve"> NUMPAGES   \* MERGEFORMAT </w:instrText>
        </w:r>
        <w:r w:rsidRPr="00D4412E">
          <w:rPr>
            <w:rFonts w:ascii="Times New Roman" w:eastAsia="標楷體" w:hAnsi="Times New Roman" w:cs="Times New Roman"/>
          </w:rPr>
          <w:fldChar w:fldCharType="separate"/>
        </w:r>
        <w:r w:rsidR="00E66DB5">
          <w:rPr>
            <w:rFonts w:ascii="Times New Roman" w:eastAsia="標楷體" w:hAnsi="Times New Roman" w:cs="Times New Roman"/>
            <w:noProof/>
          </w:rPr>
          <w:t>1</w:t>
        </w:r>
        <w:r w:rsidRPr="00D4412E">
          <w:rPr>
            <w:rFonts w:ascii="Times New Roman" w:eastAsia="標楷體" w:hAnsi="Times New Roman" w:cs="Times New Roman"/>
          </w:rPr>
          <w:fldChar w:fldCharType="end"/>
        </w:r>
        <w:r w:rsidRPr="00D4412E">
          <w:rPr>
            <w:rFonts w:ascii="Times New Roman" w:eastAsia="標楷體" w:hAnsi="Times New Roman" w:cs="Times New Roman"/>
          </w:rPr>
          <w:t>頁</w:t>
        </w:r>
      </w:p>
    </w:sdtContent>
  </w:sdt>
  <w:p w:rsidR="00D4412E" w:rsidRDefault="00D4412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19A" w:rsidRDefault="0051419A" w:rsidP="00537930">
      <w:r>
        <w:separator/>
      </w:r>
    </w:p>
  </w:footnote>
  <w:footnote w:type="continuationSeparator" w:id="0">
    <w:p w:rsidR="0051419A" w:rsidRDefault="0051419A" w:rsidP="00537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5BEC"/>
    <w:multiLevelType w:val="hybridMultilevel"/>
    <w:tmpl w:val="1270AE58"/>
    <w:lvl w:ilvl="0" w:tplc="30C2F4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0B46D4"/>
    <w:multiLevelType w:val="hybridMultilevel"/>
    <w:tmpl w:val="E6560A96"/>
    <w:lvl w:ilvl="0" w:tplc="4AB0C368">
      <w:start w:val="2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2F4FB1"/>
    <w:multiLevelType w:val="hybridMultilevel"/>
    <w:tmpl w:val="AAFC1574"/>
    <w:lvl w:ilvl="0" w:tplc="8DA0DEBE">
      <w:start w:val="1"/>
      <w:numFmt w:val="taiwaneseCountingThousand"/>
      <w:lvlText w:val="(%1)"/>
      <w:lvlJc w:val="left"/>
      <w:pPr>
        <w:ind w:left="962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>
    <w:nsid w:val="19ED52C1"/>
    <w:multiLevelType w:val="hybridMultilevel"/>
    <w:tmpl w:val="0D3C09E2"/>
    <w:lvl w:ilvl="0" w:tplc="30C2F4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4877F4C"/>
    <w:multiLevelType w:val="hybridMultilevel"/>
    <w:tmpl w:val="0D3C09E2"/>
    <w:lvl w:ilvl="0" w:tplc="30C2F4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C8F7D9F"/>
    <w:multiLevelType w:val="hybridMultilevel"/>
    <w:tmpl w:val="5C3849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E8831DA"/>
    <w:multiLevelType w:val="hybridMultilevel"/>
    <w:tmpl w:val="20A26542"/>
    <w:lvl w:ilvl="0" w:tplc="3140BF5A">
      <w:start w:val="1"/>
      <w:numFmt w:val="taiwaneseCountingThousand"/>
      <w:lvlText w:val="(%1)"/>
      <w:lvlJc w:val="left"/>
      <w:pPr>
        <w:ind w:left="465" w:hanging="465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8BE58E9"/>
    <w:multiLevelType w:val="hybridMultilevel"/>
    <w:tmpl w:val="4F1698EE"/>
    <w:lvl w:ilvl="0" w:tplc="F698B0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3B76BFF"/>
    <w:multiLevelType w:val="hybridMultilevel"/>
    <w:tmpl w:val="AAFC1574"/>
    <w:lvl w:ilvl="0" w:tplc="8DA0DEBE">
      <w:start w:val="1"/>
      <w:numFmt w:val="taiwaneseCountingThousand"/>
      <w:lvlText w:val="(%1)"/>
      <w:lvlJc w:val="left"/>
      <w:pPr>
        <w:ind w:left="962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9">
    <w:nsid w:val="5701059C"/>
    <w:multiLevelType w:val="hybridMultilevel"/>
    <w:tmpl w:val="0D3C09E2"/>
    <w:lvl w:ilvl="0" w:tplc="30C2F4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402734C"/>
    <w:multiLevelType w:val="hybridMultilevel"/>
    <w:tmpl w:val="9120F9CE"/>
    <w:lvl w:ilvl="0" w:tplc="B754881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B8523A2"/>
    <w:multiLevelType w:val="hybridMultilevel"/>
    <w:tmpl w:val="9120F9CE"/>
    <w:lvl w:ilvl="0" w:tplc="B754881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15462D7"/>
    <w:multiLevelType w:val="hybridMultilevel"/>
    <w:tmpl w:val="25D235C6"/>
    <w:lvl w:ilvl="0" w:tplc="FC74887A">
      <w:start w:val="1"/>
      <w:numFmt w:val="ideographLegalTraditional"/>
      <w:lvlText w:val="%1、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9"/>
  </w:num>
  <w:num w:numId="5">
    <w:abstractNumId w:val="7"/>
  </w:num>
  <w:num w:numId="6">
    <w:abstractNumId w:val="11"/>
  </w:num>
  <w:num w:numId="7">
    <w:abstractNumId w:val="10"/>
  </w:num>
  <w:num w:numId="8">
    <w:abstractNumId w:val="1"/>
  </w:num>
  <w:num w:numId="9">
    <w:abstractNumId w:val="5"/>
  </w:num>
  <w:num w:numId="10">
    <w:abstractNumId w:val="8"/>
  </w:num>
  <w:num w:numId="11">
    <w:abstractNumId w:val="12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41"/>
    <w:rsid w:val="00033575"/>
    <w:rsid w:val="0003373A"/>
    <w:rsid w:val="00086B84"/>
    <w:rsid w:val="000900ED"/>
    <w:rsid w:val="00092B95"/>
    <w:rsid w:val="000C68A6"/>
    <w:rsid w:val="000F1836"/>
    <w:rsid w:val="000F35AD"/>
    <w:rsid w:val="000F6F30"/>
    <w:rsid w:val="00122590"/>
    <w:rsid w:val="00136D3A"/>
    <w:rsid w:val="00140BD9"/>
    <w:rsid w:val="00140E6C"/>
    <w:rsid w:val="001457A8"/>
    <w:rsid w:val="00146901"/>
    <w:rsid w:val="00147D2E"/>
    <w:rsid w:val="0015400A"/>
    <w:rsid w:val="00160891"/>
    <w:rsid w:val="00175C9E"/>
    <w:rsid w:val="001805D3"/>
    <w:rsid w:val="00184BF7"/>
    <w:rsid w:val="001957DD"/>
    <w:rsid w:val="001C202F"/>
    <w:rsid w:val="001D7259"/>
    <w:rsid w:val="00200230"/>
    <w:rsid w:val="00200760"/>
    <w:rsid w:val="00203525"/>
    <w:rsid w:val="00205516"/>
    <w:rsid w:val="00207B10"/>
    <w:rsid w:val="0021388B"/>
    <w:rsid w:val="00275FE5"/>
    <w:rsid w:val="00291004"/>
    <w:rsid w:val="002A0853"/>
    <w:rsid w:val="002B078B"/>
    <w:rsid w:val="002D113C"/>
    <w:rsid w:val="002D7279"/>
    <w:rsid w:val="002F5563"/>
    <w:rsid w:val="00353F56"/>
    <w:rsid w:val="0036060E"/>
    <w:rsid w:val="00360712"/>
    <w:rsid w:val="003637E1"/>
    <w:rsid w:val="00390DE8"/>
    <w:rsid w:val="00391685"/>
    <w:rsid w:val="00393193"/>
    <w:rsid w:val="0039386A"/>
    <w:rsid w:val="003970C6"/>
    <w:rsid w:val="00397993"/>
    <w:rsid w:val="003C2F81"/>
    <w:rsid w:val="003E4AF2"/>
    <w:rsid w:val="003E62F7"/>
    <w:rsid w:val="00404D8A"/>
    <w:rsid w:val="00405A59"/>
    <w:rsid w:val="00405D13"/>
    <w:rsid w:val="00422B2D"/>
    <w:rsid w:val="00423A2E"/>
    <w:rsid w:val="00435E34"/>
    <w:rsid w:val="00440337"/>
    <w:rsid w:val="00465D77"/>
    <w:rsid w:val="00476D4C"/>
    <w:rsid w:val="004A3E3D"/>
    <w:rsid w:val="004B7827"/>
    <w:rsid w:val="004D182D"/>
    <w:rsid w:val="004F2D39"/>
    <w:rsid w:val="004F3C41"/>
    <w:rsid w:val="0051419A"/>
    <w:rsid w:val="00527EE1"/>
    <w:rsid w:val="00537930"/>
    <w:rsid w:val="0055712D"/>
    <w:rsid w:val="00563318"/>
    <w:rsid w:val="00573D70"/>
    <w:rsid w:val="005B2556"/>
    <w:rsid w:val="005D559C"/>
    <w:rsid w:val="005E0520"/>
    <w:rsid w:val="005E512A"/>
    <w:rsid w:val="005F6A34"/>
    <w:rsid w:val="006106BE"/>
    <w:rsid w:val="0061550F"/>
    <w:rsid w:val="006269DC"/>
    <w:rsid w:val="0063734A"/>
    <w:rsid w:val="006479DB"/>
    <w:rsid w:val="00650D1E"/>
    <w:rsid w:val="006627EB"/>
    <w:rsid w:val="0066547C"/>
    <w:rsid w:val="00665BEC"/>
    <w:rsid w:val="006A37C3"/>
    <w:rsid w:val="006A4E94"/>
    <w:rsid w:val="006D638C"/>
    <w:rsid w:val="006D6973"/>
    <w:rsid w:val="006E1A55"/>
    <w:rsid w:val="006E21B8"/>
    <w:rsid w:val="006E2A93"/>
    <w:rsid w:val="006F520A"/>
    <w:rsid w:val="006F5748"/>
    <w:rsid w:val="00722ED2"/>
    <w:rsid w:val="0074303F"/>
    <w:rsid w:val="00764203"/>
    <w:rsid w:val="007B09E1"/>
    <w:rsid w:val="007B7B42"/>
    <w:rsid w:val="007C1225"/>
    <w:rsid w:val="007C44B5"/>
    <w:rsid w:val="007D5B79"/>
    <w:rsid w:val="007E6E89"/>
    <w:rsid w:val="008233FA"/>
    <w:rsid w:val="008428C7"/>
    <w:rsid w:val="008A581F"/>
    <w:rsid w:val="008A725A"/>
    <w:rsid w:val="008B37A3"/>
    <w:rsid w:val="008C59FE"/>
    <w:rsid w:val="008D250E"/>
    <w:rsid w:val="00911C20"/>
    <w:rsid w:val="009216DA"/>
    <w:rsid w:val="009238B0"/>
    <w:rsid w:val="009317AB"/>
    <w:rsid w:val="00935129"/>
    <w:rsid w:val="0094107F"/>
    <w:rsid w:val="00950CB4"/>
    <w:rsid w:val="00954742"/>
    <w:rsid w:val="00970254"/>
    <w:rsid w:val="00971782"/>
    <w:rsid w:val="00987276"/>
    <w:rsid w:val="009A0659"/>
    <w:rsid w:val="009A3D70"/>
    <w:rsid w:val="009A5638"/>
    <w:rsid w:val="009B68E1"/>
    <w:rsid w:val="009C6DB2"/>
    <w:rsid w:val="009C7164"/>
    <w:rsid w:val="009D0499"/>
    <w:rsid w:val="009D0D20"/>
    <w:rsid w:val="009D7A60"/>
    <w:rsid w:val="009E508A"/>
    <w:rsid w:val="009E6AD7"/>
    <w:rsid w:val="009E71B7"/>
    <w:rsid w:val="00A21CF5"/>
    <w:rsid w:val="00A22DCB"/>
    <w:rsid w:val="00A3478B"/>
    <w:rsid w:val="00A3487F"/>
    <w:rsid w:val="00A428A2"/>
    <w:rsid w:val="00A46049"/>
    <w:rsid w:val="00A56AAF"/>
    <w:rsid w:val="00A87BE4"/>
    <w:rsid w:val="00A935E9"/>
    <w:rsid w:val="00AD1455"/>
    <w:rsid w:val="00B019DB"/>
    <w:rsid w:val="00B2100D"/>
    <w:rsid w:val="00B27515"/>
    <w:rsid w:val="00B332AF"/>
    <w:rsid w:val="00B40444"/>
    <w:rsid w:val="00B44C9B"/>
    <w:rsid w:val="00B50FBC"/>
    <w:rsid w:val="00B534E0"/>
    <w:rsid w:val="00B63518"/>
    <w:rsid w:val="00B8607B"/>
    <w:rsid w:val="00BC6E69"/>
    <w:rsid w:val="00BE6416"/>
    <w:rsid w:val="00C136FE"/>
    <w:rsid w:val="00C16AD1"/>
    <w:rsid w:val="00C26D05"/>
    <w:rsid w:val="00C30D06"/>
    <w:rsid w:val="00C32DCA"/>
    <w:rsid w:val="00C3426E"/>
    <w:rsid w:val="00C86C67"/>
    <w:rsid w:val="00C929F7"/>
    <w:rsid w:val="00CC5643"/>
    <w:rsid w:val="00CC63EA"/>
    <w:rsid w:val="00CE4151"/>
    <w:rsid w:val="00CE435C"/>
    <w:rsid w:val="00D04C06"/>
    <w:rsid w:val="00D3159D"/>
    <w:rsid w:val="00D354EF"/>
    <w:rsid w:val="00D4412E"/>
    <w:rsid w:val="00D51AF7"/>
    <w:rsid w:val="00D77F0A"/>
    <w:rsid w:val="00D93728"/>
    <w:rsid w:val="00DA6C52"/>
    <w:rsid w:val="00E05455"/>
    <w:rsid w:val="00E32988"/>
    <w:rsid w:val="00E405B1"/>
    <w:rsid w:val="00E578A0"/>
    <w:rsid w:val="00E60DE6"/>
    <w:rsid w:val="00E657EB"/>
    <w:rsid w:val="00E66DB5"/>
    <w:rsid w:val="00E82731"/>
    <w:rsid w:val="00E903DD"/>
    <w:rsid w:val="00EA7190"/>
    <w:rsid w:val="00EB5DF1"/>
    <w:rsid w:val="00EC3E3B"/>
    <w:rsid w:val="00EC76DE"/>
    <w:rsid w:val="00ED1FB8"/>
    <w:rsid w:val="00EE4B54"/>
    <w:rsid w:val="00EE5CAE"/>
    <w:rsid w:val="00EF24BC"/>
    <w:rsid w:val="00EF2A15"/>
    <w:rsid w:val="00F05503"/>
    <w:rsid w:val="00F2113D"/>
    <w:rsid w:val="00F60422"/>
    <w:rsid w:val="00F94935"/>
    <w:rsid w:val="00FD5ECD"/>
    <w:rsid w:val="00FD71C5"/>
    <w:rsid w:val="00FF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4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C41"/>
    <w:pPr>
      <w:spacing w:after="120" w:line="320" w:lineRule="atLeast"/>
      <w:ind w:left="482" w:hanging="482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47D2E"/>
    <w:pPr>
      <w:jc w:val="center"/>
    </w:pPr>
    <w:rPr>
      <w:rFonts w:ascii="標楷體" w:eastAsia="標楷體" w:hAnsi="標楷體"/>
      <w:sz w:val="28"/>
    </w:rPr>
  </w:style>
  <w:style w:type="character" w:customStyle="1" w:styleId="a5">
    <w:name w:val="註釋標題 字元"/>
    <w:basedOn w:val="a0"/>
    <w:link w:val="a4"/>
    <w:uiPriority w:val="99"/>
    <w:rsid w:val="00147D2E"/>
    <w:rPr>
      <w:rFonts w:ascii="標楷體" w:eastAsia="標楷體" w:hAnsi="標楷體"/>
      <w:sz w:val="28"/>
    </w:rPr>
  </w:style>
  <w:style w:type="paragraph" w:styleId="a6">
    <w:name w:val="Closing"/>
    <w:basedOn w:val="a"/>
    <w:link w:val="a7"/>
    <w:uiPriority w:val="99"/>
    <w:unhideWhenUsed/>
    <w:rsid w:val="00147D2E"/>
    <w:pPr>
      <w:ind w:leftChars="1800" w:left="100"/>
    </w:pPr>
    <w:rPr>
      <w:rFonts w:ascii="標楷體" w:eastAsia="標楷體" w:hAnsi="標楷體"/>
      <w:sz w:val="28"/>
    </w:rPr>
  </w:style>
  <w:style w:type="character" w:customStyle="1" w:styleId="a7">
    <w:name w:val="結語 字元"/>
    <w:basedOn w:val="a0"/>
    <w:link w:val="a6"/>
    <w:uiPriority w:val="99"/>
    <w:rsid w:val="00147D2E"/>
    <w:rPr>
      <w:rFonts w:ascii="標楷體" w:eastAsia="標楷體" w:hAnsi="標楷體"/>
      <w:sz w:val="28"/>
    </w:rPr>
  </w:style>
  <w:style w:type="paragraph" w:styleId="a8">
    <w:name w:val="List Paragraph"/>
    <w:basedOn w:val="a"/>
    <w:uiPriority w:val="34"/>
    <w:qFormat/>
    <w:rsid w:val="006106BE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5379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537930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5379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537930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F35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F35A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4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C41"/>
    <w:pPr>
      <w:spacing w:after="120" w:line="320" w:lineRule="atLeast"/>
      <w:ind w:left="482" w:hanging="482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47D2E"/>
    <w:pPr>
      <w:jc w:val="center"/>
    </w:pPr>
    <w:rPr>
      <w:rFonts w:ascii="標楷體" w:eastAsia="標楷體" w:hAnsi="標楷體"/>
      <w:sz w:val="28"/>
    </w:rPr>
  </w:style>
  <w:style w:type="character" w:customStyle="1" w:styleId="a5">
    <w:name w:val="註釋標題 字元"/>
    <w:basedOn w:val="a0"/>
    <w:link w:val="a4"/>
    <w:uiPriority w:val="99"/>
    <w:rsid w:val="00147D2E"/>
    <w:rPr>
      <w:rFonts w:ascii="標楷體" w:eastAsia="標楷體" w:hAnsi="標楷體"/>
      <w:sz w:val="28"/>
    </w:rPr>
  </w:style>
  <w:style w:type="paragraph" w:styleId="a6">
    <w:name w:val="Closing"/>
    <w:basedOn w:val="a"/>
    <w:link w:val="a7"/>
    <w:uiPriority w:val="99"/>
    <w:unhideWhenUsed/>
    <w:rsid w:val="00147D2E"/>
    <w:pPr>
      <w:ind w:leftChars="1800" w:left="100"/>
    </w:pPr>
    <w:rPr>
      <w:rFonts w:ascii="標楷體" w:eastAsia="標楷體" w:hAnsi="標楷體"/>
      <w:sz w:val="28"/>
    </w:rPr>
  </w:style>
  <w:style w:type="character" w:customStyle="1" w:styleId="a7">
    <w:name w:val="結語 字元"/>
    <w:basedOn w:val="a0"/>
    <w:link w:val="a6"/>
    <w:uiPriority w:val="99"/>
    <w:rsid w:val="00147D2E"/>
    <w:rPr>
      <w:rFonts w:ascii="標楷體" w:eastAsia="標楷體" w:hAnsi="標楷體"/>
      <w:sz w:val="28"/>
    </w:rPr>
  </w:style>
  <w:style w:type="paragraph" w:styleId="a8">
    <w:name w:val="List Paragraph"/>
    <w:basedOn w:val="a"/>
    <w:uiPriority w:val="34"/>
    <w:qFormat/>
    <w:rsid w:val="006106BE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5379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537930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5379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537930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F35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F35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CDCF9-E88E-4A1B-B98D-0591A42D0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175</Characters>
  <Application>Microsoft Office Word</Application>
  <DocSecurity>0</DocSecurity>
  <Lines>35</Lines>
  <Paragraphs>39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倪悅珊</cp:lastModifiedBy>
  <cp:revision>11</cp:revision>
  <cp:lastPrinted>2017-02-09T00:25:00Z</cp:lastPrinted>
  <dcterms:created xsi:type="dcterms:W3CDTF">2017-02-08T09:07:00Z</dcterms:created>
  <dcterms:modified xsi:type="dcterms:W3CDTF">2017-02-09T03:15:00Z</dcterms:modified>
</cp:coreProperties>
</file>