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17113D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7113D" w:rsidRPr="008F5967" w:rsidRDefault="0017113D" w:rsidP="0017113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17113D" w:rsidRPr="008F5967" w:rsidRDefault="0017113D" w:rsidP="0017113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CB39A5">
              <w:rPr>
                <w:rFonts w:eastAsia="標楷體"/>
                <w:bCs/>
                <w:color w:val="000000"/>
                <w:kern w:val="0"/>
              </w:rPr>
              <w:t>10508</w:t>
            </w:r>
            <w:r>
              <w:rPr>
                <w:rFonts w:eastAsia="標楷體"/>
                <w:bCs/>
                <w:color w:val="000000"/>
                <w:kern w:val="0"/>
              </w:rPr>
              <w:t>22</w:t>
            </w:r>
            <w:r w:rsidRPr="00CB39A5">
              <w:rPr>
                <w:rFonts w:eastAsia="標楷體"/>
                <w:bCs/>
                <w:color w:val="000000"/>
                <w:kern w:val="0"/>
              </w:rPr>
              <w:t>-08</w:t>
            </w:r>
            <w:r>
              <w:rPr>
                <w:rFonts w:eastAsia="標楷體"/>
                <w:bCs/>
                <w:color w:val="000000"/>
                <w:kern w:val="0"/>
              </w:rPr>
              <w:t>26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7113D" w:rsidRPr="008F5967" w:rsidRDefault="0017113D" w:rsidP="0017113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CB39A5">
              <w:rPr>
                <w:rFonts w:eastAsia="標楷體"/>
                <w:bCs/>
                <w:color w:val="000000"/>
                <w:kern w:val="0"/>
              </w:rPr>
              <w:t>10508</w:t>
            </w:r>
            <w:r>
              <w:rPr>
                <w:rFonts w:eastAsia="標楷體"/>
                <w:bCs/>
                <w:color w:val="000000"/>
                <w:kern w:val="0"/>
              </w:rPr>
              <w:t>29</w:t>
            </w:r>
            <w:r w:rsidRPr="00CB39A5">
              <w:rPr>
                <w:rFonts w:eastAsia="標楷體"/>
                <w:bCs/>
                <w:color w:val="000000"/>
                <w:kern w:val="0"/>
              </w:rPr>
              <w:t>-0</w:t>
            </w:r>
            <w:r>
              <w:rPr>
                <w:rFonts w:eastAsia="標楷體"/>
                <w:bCs/>
                <w:color w:val="000000"/>
                <w:kern w:val="0"/>
              </w:rPr>
              <w:t>902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7113D" w:rsidRPr="008F5967" w:rsidRDefault="0017113D" w:rsidP="0017113D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17113D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7113D" w:rsidRPr="0034460B" w:rsidRDefault="0017113D" w:rsidP="0017113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92299B" w:rsidRDefault="0017113D" w:rsidP="0017113D">
            <w:pPr>
              <w:jc w:val="center"/>
              <w:rPr>
                <w:sz w:val="28"/>
                <w:szCs w:val="28"/>
              </w:rPr>
            </w:pPr>
            <w:r w:rsidRPr="0092299B">
              <w:rPr>
                <w:sz w:val="28"/>
                <w:szCs w:val="28"/>
              </w:rPr>
              <w:t>46.85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507A14" w:rsidRDefault="0017113D" w:rsidP="00507A14">
            <w:pPr>
              <w:jc w:val="center"/>
              <w:rPr>
                <w:sz w:val="28"/>
                <w:szCs w:val="28"/>
              </w:rPr>
            </w:pPr>
            <w:r w:rsidRPr="00507A14">
              <w:rPr>
                <w:sz w:val="28"/>
                <w:szCs w:val="28"/>
              </w:rPr>
              <w:t>4</w:t>
            </w:r>
            <w:r w:rsidR="00507A14" w:rsidRPr="00507A14">
              <w:rPr>
                <w:sz w:val="28"/>
                <w:szCs w:val="28"/>
              </w:rPr>
              <w:t>4.87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7113D" w:rsidRPr="00507A14" w:rsidRDefault="0017113D" w:rsidP="001711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7113D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7113D" w:rsidRPr="0034460B" w:rsidRDefault="0017113D" w:rsidP="0017113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92299B" w:rsidRDefault="0017113D" w:rsidP="0017113D">
            <w:pPr>
              <w:jc w:val="center"/>
              <w:rPr>
                <w:sz w:val="28"/>
                <w:szCs w:val="28"/>
              </w:rPr>
            </w:pPr>
            <w:r w:rsidRPr="0092299B">
              <w:rPr>
                <w:sz w:val="28"/>
                <w:szCs w:val="28"/>
              </w:rPr>
              <w:t>31.728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507A14" w:rsidRDefault="0017113D" w:rsidP="00507A14">
            <w:pPr>
              <w:jc w:val="center"/>
              <w:rPr>
                <w:sz w:val="28"/>
                <w:szCs w:val="28"/>
              </w:rPr>
            </w:pPr>
            <w:r w:rsidRPr="00507A14">
              <w:rPr>
                <w:sz w:val="28"/>
                <w:szCs w:val="28"/>
              </w:rPr>
              <w:t>31.7</w:t>
            </w:r>
            <w:r w:rsidR="00507A14" w:rsidRPr="00507A14">
              <w:rPr>
                <w:sz w:val="28"/>
                <w:szCs w:val="28"/>
              </w:rPr>
              <w:t>37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507A14" w:rsidRDefault="00507A14" w:rsidP="0017113D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507A14">
              <w:rPr>
                <w:bCs/>
                <w:sz w:val="28"/>
                <w:szCs w:val="28"/>
              </w:rPr>
              <w:t>-3.36</w:t>
            </w:r>
            <w:r w:rsidR="0017113D" w:rsidRPr="00507A14">
              <w:rPr>
                <w:bCs/>
                <w:sz w:val="28"/>
                <w:szCs w:val="28"/>
              </w:rPr>
              <w:t>%</w:t>
            </w:r>
          </w:p>
        </w:tc>
      </w:tr>
      <w:tr w:rsidR="0017113D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7113D" w:rsidRPr="0034460B" w:rsidRDefault="0017113D" w:rsidP="0017113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17113D" w:rsidRPr="004321A7" w:rsidRDefault="0017113D" w:rsidP="0017113D">
            <w:pPr>
              <w:jc w:val="center"/>
              <w:rPr>
                <w:rFonts w:eastAsia="標楷體"/>
                <w:kern w:val="0"/>
              </w:rPr>
            </w:pPr>
            <w:r w:rsidRPr="004321A7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92299B" w:rsidRDefault="0017113D" w:rsidP="0017113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2299B">
              <w:rPr>
                <w:rFonts w:eastAsia="標楷體"/>
                <w:bCs/>
                <w:sz w:val="28"/>
                <w:szCs w:val="28"/>
              </w:rPr>
              <w:t>12.97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3D" w:rsidRPr="00507A14" w:rsidRDefault="0017113D" w:rsidP="0017113D">
            <w:pPr>
              <w:jc w:val="center"/>
              <w:rPr>
                <w:b/>
                <w:bCs/>
                <w:sz w:val="28"/>
                <w:szCs w:val="28"/>
              </w:rPr>
            </w:pPr>
            <w:r w:rsidRPr="00507A14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507A14" w:rsidRDefault="0017113D" w:rsidP="00507A1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07A14">
              <w:rPr>
                <w:rFonts w:eastAsia="標楷體"/>
                <w:bCs/>
                <w:sz w:val="28"/>
                <w:szCs w:val="28"/>
              </w:rPr>
              <w:t>12.</w:t>
            </w:r>
            <w:r w:rsidR="00507A14" w:rsidRPr="00507A14">
              <w:rPr>
                <w:rFonts w:eastAsia="標楷體"/>
                <w:bCs/>
                <w:sz w:val="28"/>
                <w:szCs w:val="28"/>
              </w:rPr>
              <w:t>53</w:t>
            </w:r>
          </w:p>
        </w:tc>
      </w:tr>
      <w:tr w:rsidR="0017113D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7113D" w:rsidRPr="0034460B" w:rsidRDefault="0017113D" w:rsidP="0017113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17113D" w:rsidRPr="004321A7" w:rsidRDefault="0017113D" w:rsidP="0017113D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92299B" w:rsidRDefault="0017113D" w:rsidP="0017113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2299B">
              <w:rPr>
                <w:rFonts w:eastAsia="標楷體"/>
                <w:bCs/>
                <w:sz w:val="28"/>
                <w:szCs w:val="28"/>
              </w:rPr>
              <w:t>14.06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17113D" w:rsidRPr="00507A14" w:rsidRDefault="0017113D" w:rsidP="0017113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3D" w:rsidRPr="00507A14" w:rsidRDefault="0017113D" w:rsidP="00507A1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07A14">
              <w:rPr>
                <w:rFonts w:eastAsia="標楷體"/>
                <w:bCs/>
                <w:sz w:val="28"/>
                <w:szCs w:val="28"/>
              </w:rPr>
              <w:t>1</w:t>
            </w:r>
            <w:r w:rsidR="00507A14" w:rsidRPr="00507A14">
              <w:rPr>
                <w:rFonts w:eastAsia="標楷體"/>
                <w:bCs/>
                <w:sz w:val="28"/>
                <w:szCs w:val="28"/>
              </w:rPr>
              <w:t>3.59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17113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</w:t>
            </w:r>
            <w:r w:rsidR="00CB39A5" w:rsidRPr="00CB39A5">
              <w:rPr>
                <w:rFonts w:eastAsia="標楷體"/>
                <w:kern w:val="0"/>
              </w:rPr>
              <w:t>8.</w:t>
            </w:r>
            <w:r w:rsidR="00EF7696">
              <w:rPr>
                <w:rFonts w:eastAsia="標楷體"/>
                <w:kern w:val="0"/>
              </w:rPr>
              <w:t>2</w:t>
            </w:r>
            <w:r w:rsidR="0017113D">
              <w:rPr>
                <w:rFonts w:eastAsia="標楷體"/>
                <w:kern w:val="0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17113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17113D">
              <w:rPr>
                <w:rFonts w:eastAsia="標楷體"/>
                <w:kern w:val="0"/>
              </w:rPr>
              <w:t>9.05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507A14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507A14" w:rsidRPr="00994464" w:rsidTr="00507A14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07A14" w:rsidRPr="00994464" w:rsidRDefault="00507A14" w:rsidP="005735E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widowControl/>
              <w:jc w:val="center"/>
              <w:rPr>
                <w:bCs/>
                <w:kern w:val="0"/>
              </w:rPr>
            </w:pPr>
            <w:r w:rsidRPr="00507A14">
              <w:rPr>
                <w:bCs/>
              </w:rPr>
              <w:t xml:space="preserve">23.4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22.9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  <w:sz w:val="28"/>
                <w:szCs w:val="28"/>
              </w:rPr>
            </w:pPr>
            <w:r w:rsidRPr="00507A14">
              <w:rPr>
                <w:bCs/>
                <w:sz w:val="28"/>
                <w:szCs w:val="28"/>
              </w:rPr>
              <w:t xml:space="preserve">-0.5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  <w:sz w:val="28"/>
                <w:szCs w:val="28"/>
              </w:rPr>
            </w:pPr>
            <w:r w:rsidRPr="00507A14">
              <w:rPr>
                <w:bCs/>
                <w:sz w:val="28"/>
                <w:szCs w:val="28"/>
              </w:rPr>
              <w:t xml:space="preserve">-0.5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  <w:sz w:val="28"/>
                <w:szCs w:val="28"/>
              </w:rPr>
            </w:pPr>
            <w:r w:rsidRPr="00507A14">
              <w:rPr>
                <w:bCs/>
                <w:sz w:val="28"/>
                <w:szCs w:val="28"/>
              </w:rPr>
              <w:t xml:space="preserve">22.9 </w:t>
            </w:r>
          </w:p>
        </w:tc>
      </w:tr>
      <w:tr w:rsidR="00507A14" w:rsidRPr="00994464" w:rsidTr="00507A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07A14" w:rsidRPr="00994464" w:rsidRDefault="00507A14" w:rsidP="00507A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24.9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-0.5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24.4 </w:t>
            </w:r>
          </w:p>
        </w:tc>
      </w:tr>
      <w:tr w:rsidR="00507A14" w:rsidRPr="00994464" w:rsidTr="00507A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07A14" w:rsidRPr="00994464" w:rsidRDefault="00507A14" w:rsidP="00507A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</w:t>
            </w:r>
            <w:r w:rsidRPr="005735E7">
              <w:rPr>
                <w:rFonts w:eastAsia="標楷體" w:hAnsi="標楷體"/>
                <w:kern w:val="0"/>
              </w:rPr>
              <w:t>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24.9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A14" w:rsidRPr="00507A14" w:rsidRDefault="00507A14" w:rsidP="00507A14">
            <w:r w:rsidRPr="00507A14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-0.5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24.4 </w:t>
            </w:r>
          </w:p>
        </w:tc>
      </w:tr>
      <w:tr w:rsidR="00507A14" w:rsidRPr="00994464" w:rsidTr="00507A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07A14" w:rsidRPr="00994464" w:rsidRDefault="00507A14" w:rsidP="00507A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26.9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A14" w:rsidRPr="00507A14" w:rsidRDefault="00507A14" w:rsidP="00507A14">
            <w:r w:rsidRPr="00507A14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-0.5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26.4 </w:t>
            </w:r>
          </w:p>
        </w:tc>
      </w:tr>
      <w:tr w:rsidR="00507A14" w:rsidRPr="00994464" w:rsidTr="00507A14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07A14" w:rsidRPr="00994464" w:rsidRDefault="00507A14" w:rsidP="00507A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20.9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20.4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  <w:sz w:val="28"/>
                <w:szCs w:val="28"/>
              </w:rPr>
            </w:pPr>
            <w:r w:rsidRPr="00507A14">
              <w:rPr>
                <w:bCs/>
                <w:sz w:val="28"/>
                <w:szCs w:val="28"/>
              </w:rPr>
              <w:t xml:space="preserve">-0.5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  <w:sz w:val="28"/>
                <w:szCs w:val="28"/>
              </w:rPr>
            </w:pPr>
            <w:r w:rsidRPr="00507A14">
              <w:rPr>
                <w:bCs/>
                <w:sz w:val="28"/>
                <w:szCs w:val="28"/>
              </w:rPr>
              <w:t xml:space="preserve">-0.5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  <w:sz w:val="28"/>
                <w:szCs w:val="28"/>
              </w:rPr>
            </w:pPr>
            <w:r w:rsidRPr="00507A14">
              <w:rPr>
                <w:bCs/>
                <w:sz w:val="28"/>
                <w:szCs w:val="28"/>
              </w:rPr>
              <w:t xml:space="preserve">20.4 </w:t>
            </w:r>
          </w:p>
        </w:tc>
      </w:tr>
      <w:tr w:rsidR="00507A14" w:rsidRPr="00994464" w:rsidTr="00507A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07A14" w:rsidRPr="00994464" w:rsidRDefault="00507A14" w:rsidP="00507A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20,400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A14" w:rsidRPr="00507A14" w:rsidRDefault="00507A14" w:rsidP="00507A14">
            <w:r w:rsidRPr="00507A14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-500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19,900 </w:t>
            </w:r>
          </w:p>
        </w:tc>
      </w:tr>
      <w:tr w:rsidR="00507A14" w:rsidRPr="00994464" w:rsidTr="00507A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07A14" w:rsidRPr="00994464" w:rsidRDefault="00507A14" w:rsidP="00507A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</w:t>
            </w:r>
            <w:bookmarkStart w:id="0" w:name="_GoBack"/>
            <w:bookmarkEnd w:id="0"/>
            <w:r w:rsidRPr="00994464">
              <w:rPr>
                <w:rFonts w:eastAsia="標楷體" w:hAnsi="標楷體"/>
                <w:kern w:val="0"/>
              </w:rPr>
              <w:t>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13,693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7A14" w:rsidRPr="00507A14" w:rsidRDefault="00507A14" w:rsidP="00507A14">
            <w:r w:rsidRPr="00507A14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-500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A14" w:rsidRPr="00507A14" w:rsidRDefault="00507A14" w:rsidP="00507A14">
            <w:pPr>
              <w:jc w:val="center"/>
              <w:rPr>
                <w:bCs/>
              </w:rPr>
            </w:pPr>
            <w:r w:rsidRPr="00507A14">
              <w:rPr>
                <w:bCs/>
              </w:rPr>
              <w:t xml:space="preserve">13,193 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507A14">
        <w:rPr>
          <w:rFonts w:eastAsia="標楷體" w:hint="eastAsia"/>
          <w:bCs/>
          <w:kern w:val="0"/>
          <w:sz w:val="21"/>
          <w:szCs w:val="21"/>
        </w:rPr>
        <w:t>8.</w:t>
      </w:r>
      <w:r w:rsidR="00D0161D" w:rsidRPr="00507A14">
        <w:rPr>
          <w:rFonts w:eastAsia="標楷體"/>
          <w:bCs/>
          <w:kern w:val="0"/>
          <w:sz w:val="21"/>
          <w:szCs w:val="21"/>
        </w:rPr>
        <w:t>3</w:t>
      </w:r>
      <w:r w:rsidR="00507A14" w:rsidRPr="00507A14">
        <w:rPr>
          <w:rFonts w:eastAsia="標楷體"/>
          <w:bCs/>
          <w:kern w:val="0"/>
          <w:sz w:val="21"/>
          <w:szCs w:val="21"/>
        </w:rPr>
        <w:t>3</w:t>
      </w:r>
      <w:r w:rsidR="00C934EA" w:rsidRPr="00507A14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507A14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507A14" w:rsidRPr="00507A14">
        <w:rPr>
          <w:rFonts w:eastAsia="標楷體" w:hAnsi="標楷體"/>
          <w:bCs/>
          <w:kern w:val="0"/>
          <w:sz w:val="21"/>
          <w:szCs w:val="21"/>
        </w:rPr>
        <w:t>30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45" w:rsidRDefault="00530F45" w:rsidP="008B4E87">
      <w:r>
        <w:separator/>
      </w:r>
    </w:p>
  </w:endnote>
  <w:endnote w:type="continuationSeparator" w:id="0">
    <w:p w:rsidR="00530F45" w:rsidRDefault="00530F45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45" w:rsidRDefault="00530F45" w:rsidP="008B4E87">
      <w:r>
        <w:separator/>
      </w:r>
    </w:p>
  </w:footnote>
  <w:footnote w:type="continuationSeparator" w:id="0">
    <w:p w:rsidR="00530F45" w:rsidRDefault="00530F45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13D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839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EC0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1D9B"/>
    <w:rsid w:val="004321A7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2722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716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07A14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0F4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35E7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5F7E3A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018D"/>
    <w:rsid w:val="007B0E85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358E4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99B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2990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63A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1C43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249F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161D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EF769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EA27-60F1-4862-8B6E-D97839FB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954</Characters>
  <Application>Microsoft Office Word</Application>
  <DocSecurity>0</DocSecurity>
  <Lines>7</Lines>
  <Paragraphs>2</Paragraphs>
  <ScaleCrop>false</ScaleCrop>
  <Company>cpc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黃麗如(D0520.人力資源室人力發展組)</cp:lastModifiedBy>
  <cp:revision>17</cp:revision>
  <cp:lastPrinted>2016-07-23T02:59:00Z</cp:lastPrinted>
  <dcterms:created xsi:type="dcterms:W3CDTF">2016-07-30T02:16:00Z</dcterms:created>
  <dcterms:modified xsi:type="dcterms:W3CDTF">2016-09-03T03:09:00Z</dcterms:modified>
</cp:coreProperties>
</file>