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A3" w:rsidRDefault="001474A3" w:rsidP="001474A3">
      <w:pPr>
        <w:pStyle w:val="Default"/>
        <w:jc w:val="center"/>
        <w:rPr>
          <w:rFonts w:hint="eastAsia"/>
          <w:sz w:val="28"/>
          <w:szCs w:val="28"/>
        </w:rPr>
      </w:pPr>
      <w:r>
        <w:rPr>
          <w:rFonts w:hint="eastAsia"/>
          <w:sz w:val="28"/>
          <w:szCs w:val="28"/>
        </w:rPr>
        <w:t>台灣中油公司貿易處一般油料外銷客戶申請辦法</w:t>
      </w:r>
    </w:p>
    <w:p w:rsidR="00B50292" w:rsidRPr="00B50292" w:rsidRDefault="00B50292" w:rsidP="00B50292">
      <w:pPr>
        <w:pStyle w:val="Default"/>
        <w:jc w:val="right"/>
      </w:pPr>
      <w:r w:rsidRPr="00B50292">
        <w:rPr>
          <w:rFonts w:hint="eastAsia"/>
        </w:rPr>
        <w:t>105.04.01</w:t>
      </w:r>
      <w:r>
        <w:rPr>
          <w:rFonts w:hint="eastAsia"/>
        </w:rPr>
        <w:t>核定</w:t>
      </w:r>
      <w:bookmarkStart w:id="0" w:name="_GoBack"/>
      <w:bookmarkEnd w:id="0"/>
    </w:p>
    <w:p w:rsidR="001474A3" w:rsidRDefault="001474A3" w:rsidP="001474A3">
      <w:pPr>
        <w:pStyle w:val="Default"/>
        <w:rPr>
          <w:sz w:val="28"/>
          <w:szCs w:val="28"/>
        </w:rPr>
      </w:pPr>
      <w:r>
        <w:rPr>
          <w:rFonts w:hint="eastAsia"/>
          <w:sz w:val="28"/>
          <w:szCs w:val="28"/>
        </w:rPr>
        <w:t>國外油公司或油料貿易商以電報、電傳、</w:t>
      </w:r>
      <w:proofErr w:type="gramStart"/>
      <w:r>
        <w:rPr>
          <w:rFonts w:hint="eastAsia"/>
          <w:sz w:val="28"/>
          <w:szCs w:val="28"/>
        </w:rPr>
        <w:t>電郵或信函</w:t>
      </w:r>
      <w:proofErr w:type="gramEnd"/>
      <w:r>
        <w:rPr>
          <w:rFonts w:hint="eastAsia"/>
          <w:sz w:val="28"/>
          <w:szCs w:val="28"/>
        </w:rPr>
        <w:t>表達購買本公司銷售油料之意願、油料項目者，應就下列項目提出說明並檢附文件資料供本公司審核：</w:t>
      </w:r>
    </w:p>
    <w:p w:rsidR="001474A3" w:rsidRDefault="001474A3" w:rsidP="001474A3">
      <w:pPr>
        <w:pStyle w:val="Default"/>
        <w:ind w:left="566" w:hangingChars="202" w:hanging="566"/>
        <w:rPr>
          <w:sz w:val="28"/>
          <w:szCs w:val="28"/>
        </w:rPr>
      </w:pPr>
      <w:r>
        <w:rPr>
          <w:sz w:val="28"/>
          <w:szCs w:val="28"/>
        </w:rPr>
        <w:t>(</w:t>
      </w:r>
      <w:proofErr w:type="gramStart"/>
      <w:r>
        <w:rPr>
          <w:rFonts w:hint="eastAsia"/>
          <w:sz w:val="28"/>
          <w:szCs w:val="28"/>
        </w:rPr>
        <w:t>一</w:t>
      </w:r>
      <w:proofErr w:type="gramEnd"/>
      <w:r>
        <w:rPr>
          <w:sz w:val="28"/>
          <w:szCs w:val="28"/>
        </w:rPr>
        <w:t>)</w:t>
      </w:r>
      <w:r>
        <w:rPr>
          <w:rFonts w:hint="eastAsia"/>
          <w:sz w:val="28"/>
          <w:szCs w:val="28"/>
        </w:rPr>
        <w:t>公司簡介：說明該公司成立經過（</w:t>
      </w:r>
      <w:r>
        <w:rPr>
          <w:sz w:val="28"/>
          <w:szCs w:val="28"/>
        </w:rPr>
        <w:t>Company History</w:t>
      </w:r>
      <w:r>
        <w:rPr>
          <w:rFonts w:hint="eastAsia"/>
          <w:sz w:val="28"/>
          <w:szCs w:val="28"/>
        </w:rPr>
        <w:t>）、資本額（</w:t>
      </w:r>
      <w:r>
        <w:rPr>
          <w:sz w:val="28"/>
          <w:szCs w:val="28"/>
        </w:rPr>
        <w:t>Capital</w:t>
      </w:r>
      <w:r>
        <w:rPr>
          <w:rFonts w:hint="eastAsia"/>
          <w:sz w:val="28"/>
          <w:szCs w:val="28"/>
        </w:rPr>
        <w:t>）、組織概況（</w:t>
      </w:r>
      <w:r>
        <w:rPr>
          <w:sz w:val="28"/>
          <w:szCs w:val="28"/>
        </w:rPr>
        <w:t>Corporation Structure</w:t>
      </w:r>
      <w:r>
        <w:rPr>
          <w:rFonts w:hint="eastAsia"/>
          <w:sz w:val="28"/>
          <w:szCs w:val="28"/>
        </w:rPr>
        <w:t>）、年度財務收支情形（</w:t>
      </w:r>
      <w:r>
        <w:rPr>
          <w:sz w:val="28"/>
          <w:szCs w:val="28"/>
        </w:rPr>
        <w:t>Annual Financial Highlights</w:t>
      </w:r>
      <w:r>
        <w:rPr>
          <w:rFonts w:hint="eastAsia"/>
          <w:sz w:val="28"/>
          <w:szCs w:val="28"/>
        </w:rPr>
        <w:t>）和經營業務內容（</w:t>
      </w:r>
      <w:r>
        <w:rPr>
          <w:sz w:val="28"/>
          <w:szCs w:val="28"/>
        </w:rPr>
        <w:t>Business Description</w:t>
      </w:r>
      <w:r>
        <w:rPr>
          <w:rFonts w:hint="eastAsia"/>
          <w:sz w:val="28"/>
          <w:szCs w:val="28"/>
        </w:rPr>
        <w:t>）等。</w:t>
      </w:r>
    </w:p>
    <w:p w:rsidR="001474A3" w:rsidRPr="001474A3" w:rsidRDefault="001474A3" w:rsidP="001474A3">
      <w:pPr>
        <w:pStyle w:val="Default"/>
        <w:ind w:left="566" w:hangingChars="202" w:hanging="566"/>
        <w:rPr>
          <w:sz w:val="28"/>
          <w:szCs w:val="28"/>
        </w:rPr>
      </w:pPr>
      <w:r>
        <w:rPr>
          <w:sz w:val="28"/>
          <w:szCs w:val="28"/>
        </w:rPr>
        <w:t>(</w:t>
      </w:r>
      <w:r>
        <w:rPr>
          <w:rFonts w:hint="eastAsia"/>
          <w:sz w:val="28"/>
          <w:szCs w:val="28"/>
        </w:rPr>
        <w:t>二</w:t>
      </w:r>
      <w:r>
        <w:rPr>
          <w:sz w:val="28"/>
          <w:szCs w:val="28"/>
        </w:rPr>
        <w:t>)</w:t>
      </w:r>
      <w:r>
        <w:rPr>
          <w:rFonts w:hint="eastAsia"/>
          <w:sz w:val="28"/>
          <w:szCs w:val="28"/>
        </w:rPr>
        <w:t>油料貿易實績：如平均年交易金額、交易項目、交易對象</w:t>
      </w:r>
      <w:proofErr w:type="gramStart"/>
      <w:r>
        <w:rPr>
          <w:rFonts w:hint="eastAsia"/>
          <w:sz w:val="28"/>
          <w:szCs w:val="28"/>
        </w:rPr>
        <w:t>（</w:t>
      </w:r>
      <w:proofErr w:type="gramEnd"/>
      <w:r>
        <w:rPr>
          <w:sz w:val="28"/>
          <w:szCs w:val="28"/>
        </w:rPr>
        <w:t xml:space="preserve">Actual Petroleum Products Trading Activities incl. </w:t>
      </w:r>
      <w:proofErr w:type="spellStart"/>
      <w:r>
        <w:rPr>
          <w:sz w:val="28"/>
          <w:szCs w:val="28"/>
        </w:rPr>
        <w:t>annualamount</w:t>
      </w:r>
      <w:proofErr w:type="spellEnd"/>
      <w:r>
        <w:rPr>
          <w:sz w:val="28"/>
          <w:szCs w:val="28"/>
        </w:rPr>
        <w:t>/item/counter party</w:t>
      </w:r>
      <w:proofErr w:type="gramStart"/>
      <w:r>
        <w:rPr>
          <w:rFonts w:hint="eastAsia"/>
          <w:sz w:val="28"/>
          <w:szCs w:val="28"/>
        </w:rPr>
        <w:t>）</w:t>
      </w:r>
      <w:proofErr w:type="gramEnd"/>
      <w:r>
        <w:rPr>
          <w:rFonts w:hint="eastAsia"/>
          <w:sz w:val="28"/>
          <w:szCs w:val="28"/>
        </w:rPr>
        <w:t>及該公司從事國際油料實務經</w:t>
      </w:r>
      <w:r w:rsidRPr="001474A3">
        <w:rPr>
          <w:sz w:val="28"/>
          <w:szCs w:val="28"/>
        </w:rPr>
        <w:t>歷及年資（Trading Experience/History）。欲採購石油腦、汽油、柴油、航空燃油、燃料油及冷凍式液化石油氣之廠商尚須具備一年以上油料國際貿易實務經驗，一年以內累積實績至少四萬公秉。</w:t>
      </w:r>
    </w:p>
    <w:p w:rsidR="001474A3" w:rsidRPr="001474A3" w:rsidRDefault="001474A3" w:rsidP="001474A3">
      <w:pPr>
        <w:pStyle w:val="Default"/>
        <w:ind w:left="566" w:hangingChars="202" w:hanging="566"/>
        <w:rPr>
          <w:sz w:val="28"/>
          <w:szCs w:val="28"/>
        </w:rPr>
      </w:pPr>
      <w:r w:rsidRPr="001474A3">
        <w:rPr>
          <w:sz w:val="28"/>
          <w:szCs w:val="28"/>
        </w:rPr>
        <w:t>(三)銀行信用額度證明：由全球銀行排名前二百名以內之國外銀行或全球銀行排名前三百名以內之國內銀行出具</w:t>
      </w:r>
      <w:proofErr w:type="gramStart"/>
      <w:r w:rsidRPr="001474A3">
        <w:rPr>
          <w:sz w:val="28"/>
          <w:szCs w:val="28"/>
        </w:rPr>
        <w:t>信用狀授信</w:t>
      </w:r>
      <w:proofErr w:type="gramEnd"/>
      <w:r w:rsidRPr="001474A3">
        <w:rPr>
          <w:sz w:val="28"/>
          <w:szCs w:val="28"/>
        </w:rPr>
        <w:t>額度証明（Bank</w:t>
      </w:r>
      <w:r w:rsidRPr="001474A3">
        <w:rPr>
          <w:sz w:val="28"/>
          <w:szCs w:val="28"/>
        </w:rPr>
        <w:t>’</w:t>
      </w:r>
      <w:r w:rsidRPr="001474A3">
        <w:rPr>
          <w:sz w:val="28"/>
          <w:szCs w:val="28"/>
        </w:rPr>
        <w:t xml:space="preserve">s Certificate for Credit Line on </w:t>
      </w:r>
      <w:proofErr w:type="spellStart"/>
      <w:r w:rsidRPr="001474A3">
        <w:rPr>
          <w:sz w:val="28"/>
          <w:szCs w:val="28"/>
        </w:rPr>
        <w:t>issuingletter</w:t>
      </w:r>
      <w:proofErr w:type="spellEnd"/>
      <w:r w:rsidRPr="001474A3">
        <w:rPr>
          <w:sz w:val="28"/>
          <w:szCs w:val="28"/>
        </w:rPr>
        <w:t xml:space="preserve"> of credit），至少參仟萬美元，中油得按當時市場行情調高所需信</w:t>
      </w:r>
      <w:r w:rsidRPr="001474A3">
        <w:rPr>
          <w:sz w:val="28"/>
          <w:szCs w:val="28"/>
        </w:rPr>
        <w:lastRenderedPageBreak/>
        <w:t>用額度。為符合比例原則，依市場油料交運實務每</w:t>
      </w:r>
      <w:proofErr w:type="gramStart"/>
      <w:r w:rsidRPr="001474A3">
        <w:rPr>
          <w:sz w:val="28"/>
          <w:szCs w:val="28"/>
        </w:rPr>
        <w:t>船次交運貨</w:t>
      </w:r>
      <w:proofErr w:type="gramEnd"/>
      <w:r w:rsidRPr="001474A3">
        <w:rPr>
          <w:sz w:val="28"/>
          <w:szCs w:val="28"/>
        </w:rPr>
        <w:t>量在一萬噸以下</w:t>
      </w:r>
      <w:proofErr w:type="gramStart"/>
      <w:r w:rsidRPr="001474A3">
        <w:rPr>
          <w:sz w:val="28"/>
          <w:szCs w:val="28"/>
        </w:rPr>
        <w:t>之貨油</w:t>
      </w:r>
      <w:proofErr w:type="gramEnd"/>
      <w:r w:rsidRPr="001474A3">
        <w:rPr>
          <w:sz w:val="28"/>
          <w:szCs w:val="28"/>
        </w:rPr>
        <w:t>，例如MTBE、重組油、甲醇及高壓液化石油氣等，得衡量貨價後放寬前述授信額度證明為至少三百五十萬美元。</w:t>
      </w:r>
    </w:p>
    <w:p w:rsidR="00866FD1" w:rsidRPr="001474A3" w:rsidRDefault="001474A3" w:rsidP="001474A3">
      <w:pPr>
        <w:pStyle w:val="Default"/>
        <w:ind w:left="566" w:hangingChars="202" w:hanging="566"/>
        <w:rPr>
          <w:sz w:val="28"/>
          <w:szCs w:val="28"/>
        </w:rPr>
      </w:pPr>
      <w:r w:rsidRPr="001474A3">
        <w:rPr>
          <w:sz w:val="28"/>
          <w:szCs w:val="28"/>
        </w:rPr>
        <w:t>(四)交易信用諮詢管道(Trade Reference)：提供交易對象中較著名油公司及其聯絡窗口供本公司對其交易信譽進行諮詢。</w:t>
      </w:r>
    </w:p>
    <w:sectPr w:rsidR="00866FD1" w:rsidRPr="001474A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A3"/>
    <w:rsid w:val="001474A3"/>
    <w:rsid w:val="00866FD1"/>
    <w:rsid w:val="00B50292"/>
    <w:rsid w:val="00BF2B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74A3"/>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74A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丘幼華</dc:creator>
  <cp:lastModifiedBy>丘幼華</cp:lastModifiedBy>
  <cp:revision>2</cp:revision>
  <dcterms:created xsi:type="dcterms:W3CDTF">2016-05-16T08:16:00Z</dcterms:created>
  <dcterms:modified xsi:type="dcterms:W3CDTF">2016-05-16T08:16:00Z</dcterms:modified>
</cp:coreProperties>
</file>